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07" w:rsidRDefault="00043907" w:rsidP="007163DD">
      <w:pPr>
        <w:spacing w:line="480" w:lineRule="auto"/>
        <w:jc w:val="center"/>
        <w:rPr>
          <w:b/>
        </w:rPr>
      </w:pPr>
      <w:r>
        <w:rPr>
          <w:b/>
        </w:rPr>
        <w:t>Protest and Institutional Change</w:t>
      </w:r>
      <w:r w:rsidR="008A3E89">
        <w:rPr>
          <w:rStyle w:val="EndnoteReference"/>
        </w:rPr>
        <w:endnoteReference w:id="1"/>
      </w:r>
    </w:p>
    <w:p w:rsidR="00101626" w:rsidRDefault="00101626" w:rsidP="007163DD">
      <w:pPr>
        <w:spacing w:line="480" w:lineRule="auto"/>
        <w:jc w:val="center"/>
        <w:rPr>
          <w:b/>
        </w:rPr>
      </w:pPr>
      <w:r>
        <w:rPr>
          <w:rFonts w:ascii="Arial" w:hAnsi="Arial" w:cs="Arial"/>
          <w:i/>
          <w:iCs/>
          <w:color w:val="222222"/>
          <w:sz w:val="19"/>
          <w:szCs w:val="19"/>
          <w:shd w:val="clear" w:color="auto" w:fill="FFFFFF"/>
        </w:rPr>
        <w:t>This is a draft of an article that has been accepted for publication by Oxford University Press in the Oxford Handbooks Online for publication in 2015.</w:t>
      </w:r>
      <w:bookmarkStart w:id="0" w:name="_GoBack"/>
      <w:bookmarkEnd w:id="0"/>
    </w:p>
    <w:p w:rsidR="007163DD" w:rsidRDefault="007163DD" w:rsidP="007163DD">
      <w:pPr>
        <w:jc w:val="center"/>
        <w:rPr>
          <w:b/>
        </w:rPr>
      </w:pPr>
    </w:p>
    <w:p w:rsidR="007163DD" w:rsidRPr="007163DD" w:rsidRDefault="007163DD" w:rsidP="007163DD">
      <w:pPr>
        <w:rPr>
          <w:rFonts w:eastAsia="Times New Roman"/>
          <w:color w:val="000000"/>
          <w:lang w:eastAsia="ko-KR"/>
        </w:rPr>
      </w:pPr>
      <w:r w:rsidRPr="007163DD">
        <w:rPr>
          <w:rFonts w:eastAsia="Times New Roman"/>
          <w:b/>
          <w:bCs/>
          <w:color w:val="000000"/>
          <w:lang w:eastAsia="ko-KR"/>
        </w:rPr>
        <w:t>Abstract:</w:t>
      </w:r>
      <w:r>
        <w:rPr>
          <w:rFonts w:eastAsia="Times New Roman"/>
          <w:b/>
          <w:bCs/>
          <w:color w:val="000000"/>
          <w:lang w:eastAsia="ko-KR"/>
        </w:rPr>
        <w:t xml:space="preserve"> </w:t>
      </w:r>
      <w:r w:rsidRPr="007163DD">
        <w:rPr>
          <w:rFonts w:eastAsia="Times New Roman"/>
          <w:color w:val="000000"/>
          <w:lang w:eastAsia="ko-KR"/>
        </w:rPr>
        <w:t xml:space="preserve">This </w:t>
      </w:r>
      <w:r>
        <w:rPr>
          <w:rFonts w:eastAsia="Times New Roman"/>
          <w:color w:val="000000"/>
          <w:lang w:eastAsia="ko-KR"/>
        </w:rPr>
        <w:t>article</w:t>
      </w:r>
      <w:r w:rsidRPr="007163DD">
        <w:rPr>
          <w:rFonts w:eastAsia="Times New Roman"/>
          <w:color w:val="000000"/>
          <w:lang w:eastAsia="ko-KR"/>
        </w:rPr>
        <w:t xml:space="preserve"> </w:t>
      </w:r>
      <w:r>
        <w:rPr>
          <w:rFonts w:eastAsia="Times New Roman"/>
          <w:color w:val="000000"/>
          <w:lang w:eastAsia="ko-KR"/>
        </w:rPr>
        <w:t xml:space="preserve">studies </w:t>
      </w:r>
      <w:r w:rsidRPr="007163DD">
        <w:rPr>
          <w:rFonts w:eastAsia="Times New Roman"/>
          <w:color w:val="000000"/>
          <w:lang w:eastAsia="ko-KR"/>
        </w:rPr>
        <w:t xml:space="preserve">how social protest contributes to institutional reforms in both new and established democracies. The author evaluates the effect of social protest on changes in the protection of workers’ rights, women’s political rights, and the ability of other branches of government to constrain chief executives. Three important findings emerge in this regard: </w:t>
      </w:r>
      <w:r w:rsidR="00C21659">
        <w:rPr>
          <w:rFonts w:eastAsia="Times New Roman"/>
          <w:color w:val="000000"/>
          <w:lang w:eastAsia="ko-KR"/>
        </w:rPr>
        <w:t>strikes</w:t>
      </w:r>
      <w:r w:rsidRPr="007163DD">
        <w:rPr>
          <w:rFonts w:eastAsia="Times New Roman"/>
          <w:color w:val="000000"/>
          <w:lang w:eastAsia="ko-KR"/>
        </w:rPr>
        <w:t xml:space="preserve"> promote worker’s rights while general strikes advance women’s political rights in the presence of an independent judiciary. Additionally, anti-government demonstrations constrain executives while riots empower them when the government is cohesive. Regarding the mechanisms behind these changes, the analysis reveals that whereas the effects of </w:t>
      </w:r>
      <w:r w:rsidR="00C21659">
        <w:rPr>
          <w:rFonts w:eastAsia="Times New Roman"/>
          <w:color w:val="000000"/>
          <w:lang w:eastAsia="ko-KR"/>
        </w:rPr>
        <w:t>strikes</w:t>
      </w:r>
      <w:r w:rsidRPr="007163DD">
        <w:rPr>
          <w:rFonts w:eastAsia="Times New Roman"/>
          <w:color w:val="000000"/>
          <w:lang w:eastAsia="ko-KR"/>
        </w:rPr>
        <w:t xml:space="preserve"> on workers’ rights are not institutionally mediated, general strikes can affect women’s political rights indirectly through the institution of an independent judiciary. Antigovernment demonstrations and riots can likewise affect executive constraints indirectly, through the behavior of actors in other branches of government.</w:t>
      </w:r>
    </w:p>
    <w:p w:rsidR="00E41CEF" w:rsidRDefault="00E41CEF" w:rsidP="00E41CEF">
      <w:pPr>
        <w:jc w:val="center"/>
        <w:rPr>
          <w:b/>
        </w:rPr>
      </w:pPr>
    </w:p>
    <w:p w:rsidR="00E41CEF" w:rsidRDefault="00E41CEF" w:rsidP="00E41CEF">
      <w:pPr>
        <w:jc w:val="center"/>
        <w:rPr>
          <w:b/>
        </w:rPr>
      </w:pPr>
    </w:p>
    <w:p w:rsidR="000A2CF4" w:rsidRDefault="00E41CEF">
      <w:pPr>
        <w:spacing w:line="480" w:lineRule="auto"/>
      </w:pPr>
      <w:r w:rsidRPr="00E41CEF">
        <w:t>Keywords: social protest, institutional reforms, democracy</w:t>
      </w:r>
    </w:p>
    <w:p w:rsidR="00E41CEF" w:rsidRPr="00E41CEF" w:rsidRDefault="00E41CEF" w:rsidP="00E41CEF"/>
    <w:p w:rsidR="00913839" w:rsidRDefault="001E7757" w:rsidP="00913839">
      <w:pPr>
        <w:spacing w:line="480" w:lineRule="auto"/>
        <w:ind w:firstLine="720"/>
      </w:pPr>
      <w:r>
        <w:t>P</w:t>
      </w:r>
      <w:r w:rsidR="00654787">
        <w:t xml:space="preserve">rotest is </w:t>
      </w:r>
      <w:r w:rsidR="00610383">
        <w:t xml:space="preserve">a </w:t>
      </w:r>
      <w:r w:rsidR="002771D6">
        <w:t>familiar</w:t>
      </w:r>
      <w:r w:rsidR="00654787">
        <w:t xml:space="preserve"> </w:t>
      </w:r>
      <w:r w:rsidR="006437BE">
        <w:t>manifestation of political behavior</w:t>
      </w:r>
      <w:r w:rsidR="00654787">
        <w:t xml:space="preserve"> in modern democrati</w:t>
      </w:r>
      <w:r w:rsidR="00612E35">
        <w:t>c settings (Dalton et al. 2010</w:t>
      </w:r>
      <w:r w:rsidR="0021170F">
        <w:t xml:space="preserve">; </w:t>
      </w:r>
      <w:r w:rsidR="0021170F" w:rsidRPr="0021170F">
        <w:t>Johnston</w:t>
      </w:r>
      <w:r w:rsidR="0021170F">
        <w:t xml:space="preserve"> 2011</w:t>
      </w:r>
      <w:r w:rsidR="00612E35">
        <w:t>).</w:t>
      </w:r>
      <w:r w:rsidR="00612E35" w:rsidRPr="00612E35">
        <w:rPr>
          <w:rStyle w:val="EndnoteReference"/>
        </w:rPr>
        <w:t xml:space="preserve"> </w:t>
      </w:r>
      <w:r w:rsidR="00AB3C90">
        <w:t>Some time</w:t>
      </w:r>
      <w:r w:rsidR="00EC6C6A">
        <w:t xml:space="preserve"> ago, </w:t>
      </w:r>
      <w:r w:rsidR="005734B6">
        <w:t>scholars</w:t>
      </w:r>
      <w:r w:rsidR="00EC6C6A">
        <w:t xml:space="preserve"> </w:t>
      </w:r>
      <w:r w:rsidR="00C474FC">
        <w:t>coined the term</w:t>
      </w:r>
      <w:r w:rsidR="00E152CF">
        <w:rPr>
          <w:bCs/>
          <w:lang w:eastAsia="ko-KR"/>
        </w:rPr>
        <w:t xml:space="preserve"> “modular”</w:t>
      </w:r>
      <w:r w:rsidR="00EC6C6A">
        <w:rPr>
          <w:bCs/>
          <w:lang w:eastAsia="ko-KR"/>
        </w:rPr>
        <w:t xml:space="preserve"> </w:t>
      </w:r>
      <w:r w:rsidR="00C474FC">
        <w:rPr>
          <w:bCs/>
          <w:lang w:eastAsia="ko-KR"/>
        </w:rPr>
        <w:t xml:space="preserve">to refer to its use by multiple constituencies </w:t>
      </w:r>
      <w:r w:rsidR="0096621F">
        <w:rPr>
          <w:bCs/>
          <w:lang w:eastAsia="ko-KR"/>
        </w:rPr>
        <w:t>with</w:t>
      </w:r>
      <w:r w:rsidR="00C474FC">
        <w:rPr>
          <w:bCs/>
          <w:lang w:eastAsia="ko-KR"/>
        </w:rPr>
        <w:t xml:space="preserve"> diverse </w:t>
      </w:r>
      <w:r w:rsidR="0096621F">
        <w:rPr>
          <w:bCs/>
          <w:lang w:eastAsia="ko-KR"/>
        </w:rPr>
        <w:t>objectives</w:t>
      </w:r>
      <w:r w:rsidR="00C474FC">
        <w:rPr>
          <w:bCs/>
          <w:lang w:eastAsia="ko-KR"/>
        </w:rPr>
        <w:t xml:space="preserve"> </w:t>
      </w:r>
      <w:r w:rsidR="00EC6C6A">
        <w:t>(</w:t>
      </w:r>
      <w:proofErr w:type="spellStart"/>
      <w:r w:rsidR="00EC6C6A">
        <w:t>Tarrow</w:t>
      </w:r>
      <w:proofErr w:type="spellEnd"/>
      <w:r w:rsidR="00EC6C6A">
        <w:t xml:space="preserve"> 1998, 37-40). </w:t>
      </w:r>
      <w:r w:rsidR="009C5AD7">
        <w:t xml:space="preserve">While </w:t>
      </w:r>
      <w:r w:rsidR="00EC6C6A">
        <w:t>protest</w:t>
      </w:r>
      <w:r w:rsidR="00214E1D">
        <w:t>e</w:t>
      </w:r>
      <w:r w:rsidR="00EC6C6A">
        <w:t xml:space="preserve">rs </w:t>
      </w:r>
      <w:r w:rsidR="00CB2510">
        <w:t>may</w:t>
      </w:r>
      <w:r w:rsidR="00EC6C6A">
        <w:t xml:space="preserve"> </w:t>
      </w:r>
      <w:r w:rsidR="00CB2510">
        <w:t xml:space="preserve">not </w:t>
      </w:r>
      <w:r w:rsidR="00EC6C6A">
        <w:t xml:space="preserve">have to fear for their personal integrity </w:t>
      </w:r>
      <w:r w:rsidR="00A9738A">
        <w:t>(</w:t>
      </w:r>
      <w:r w:rsidR="002C16E8">
        <w:t xml:space="preserve">political imprisonment, torture, </w:t>
      </w:r>
      <w:r w:rsidR="00A9738A">
        <w:t xml:space="preserve">disappearance, </w:t>
      </w:r>
      <w:r w:rsidR="002C16E8">
        <w:t xml:space="preserve">or </w:t>
      </w:r>
      <w:r w:rsidR="00A9738A">
        <w:t>extra judicial</w:t>
      </w:r>
      <w:r w:rsidR="002C16E8">
        <w:t xml:space="preserve"> killing</w:t>
      </w:r>
      <w:r w:rsidR="00A9738A">
        <w:t xml:space="preserve">) </w:t>
      </w:r>
      <w:r w:rsidR="00EC6C6A">
        <w:t xml:space="preserve">in </w:t>
      </w:r>
      <w:r w:rsidR="00CB2510">
        <w:t>most democracies today</w:t>
      </w:r>
      <w:r w:rsidR="009C5AD7">
        <w:t xml:space="preserve">, many </w:t>
      </w:r>
      <w:r w:rsidR="00EC6C6A">
        <w:t>new</w:t>
      </w:r>
      <w:r w:rsidR="009C5AD7">
        <w:t xml:space="preserve"> democracies </w:t>
      </w:r>
      <w:r w:rsidR="00E85125">
        <w:t>do not</w:t>
      </w:r>
      <w:r w:rsidR="0083742E">
        <w:t xml:space="preserve"> </w:t>
      </w:r>
      <w:r w:rsidR="00E85125">
        <w:t>live</w:t>
      </w:r>
      <w:r w:rsidR="00A7242B">
        <w:t xml:space="preserve"> up to their full potential in the areas </w:t>
      </w:r>
      <w:r w:rsidR="003610FF">
        <w:t>of</w:t>
      </w:r>
      <w:r w:rsidR="00155031">
        <w:t xml:space="preserve"> representativeness</w:t>
      </w:r>
      <w:r w:rsidR="0083742E">
        <w:t>, accountabil</w:t>
      </w:r>
      <w:r w:rsidR="00A7242B">
        <w:t>ity, equality and participation</w:t>
      </w:r>
      <w:r w:rsidR="0083742E">
        <w:t xml:space="preserve"> (</w:t>
      </w:r>
      <w:proofErr w:type="spellStart"/>
      <w:r w:rsidR="00A7242B">
        <w:t>Foweraker</w:t>
      </w:r>
      <w:proofErr w:type="spellEnd"/>
      <w:r w:rsidR="00A7242B">
        <w:t xml:space="preserve"> and </w:t>
      </w:r>
      <w:proofErr w:type="spellStart"/>
      <w:r w:rsidR="00A7242B">
        <w:t>Krznaric</w:t>
      </w:r>
      <w:proofErr w:type="spellEnd"/>
      <w:r w:rsidR="00A7242B">
        <w:t xml:space="preserve"> 2000</w:t>
      </w:r>
      <w:r w:rsidR="0091737F">
        <w:t>, 2003, 314-315; Freedom House 2012</w:t>
      </w:r>
      <w:r w:rsidR="004D3515">
        <w:t xml:space="preserve">; </w:t>
      </w:r>
      <w:proofErr w:type="spellStart"/>
      <w:r w:rsidR="004D3515">
        <w:t>Lijphart</w:t>
      </w:r>
      <w:proofErr w:type="spellEnd"/>
      <w:r w:rsidR="004D3515">
        <w:t xml:space="preserve"> 1993, 149</w:t>
      </w:r>
      <w:r w:rsidR="0083742E">
        <w:t>)</w:t>
      </w:r>
      <w:r w:rsidR="00CE76D2">
        <w:t xml:space="preserve">. Instead, </w:t>
      </w:r>
      <w:r w:rsidR="003610FF">
        <w:t>some</w:t>
      </w:r>
      <w:r w:rsidR="006437BE">
        <w:t xml:space="preserve"> </w:t>
      </w:r>
      <w:r w:rsidR="000C3504">
        <w:t xml:space="preserve">are far from attaining the ideal </w:t>
      </w:r>
      <w:r w:rsidR="00CE76D2">
        <w:t xml:space="preserve">of </w:t>
      </w:r>
      <w:r w:rsidR="000C3504">
        <w:t>a political system that</w:t>
      </w:r>
      <w:r w:rsidR="0091737F">
        <w:t xml:space="preserve">, in perfecting </w:t>
      </w:r>
      <w:proofErr w:type="gramStart"/>
      <w:r w:rsidR="0091737F">
        <w:t>these</w:t>
      </w:r>
      <w:proofErr w:type="gramEnd"/>
      <w:r w:rsidR="0091737F">
        <w:t xml:space="preserve"> attributes, creates the conditions for broad and equal citizenship </w:t>
      </w:r>
      <w:r w:rsidR="00321740">
        <w:t xml:space="preserve">among </w:t>
      </w:r>
      <w:r w:rsidR="00380931">
        <w:t xml:space="preserve">its </w:t>
      </w:r>
      <w:r w:rsidR="00321740">
        <w:t xml:space="preserve">subjects </w:t>
      </w:r>
      <w:r w:rsidR="0091737F">
        <w:t>(</w:t>
      </w:r>
      <w:r w:rsidR="00E83FFD">
        <w:t xml:space="preserve">Tilly </w:t>
      </w:r>
      <w:r w:rsidR="0091737F">
        <w:t>2007).</w:t>
      </w:r>
      <w:r w:rsidR="000C3504">
        <w:rPr>
          <w:rStyle w:val="EndnoteReference"/>
        </w:rPr>
        <w:endnoteReference w:id="2"/>
      </w:r>
    </w:p>
    <w:p w:rsidR="002156D5" w:rsidRDefault="00EC6121" w:rsidP="002156D5">
      <w:pPr>
        <w:spacing w:line="480" w:lineRule="auto"/>
        <w:ind w:firstLine="720"/>
        <w:sectPr w:rsidR="002156D5" w:rsidSect="002156D5">
          <w:endnotePr>
            <w:numFmt w:val="decimal"/>
          </w:endnotePr>
          <w:type w:val="continuous"/>
          <w:pgSz w:w="12240" w:h="15840"/>
          <w:pgMar w:top="1440" w:right="1440" w:bottom="1440" w:left="1440" w:header="720" w:footer="720" w:gutter="0"/>
          <w:cols w:space="720"/>
          <w:docGrid w:linePitch="360"/>
        </w:sectPr>
      </w:pPr>
      <w:r>
        <w:t>T</w:t>
      </w:r>
      <w:r w:rsidR="00D12A95">
        <w:t>h</w:t>
      </w:r>
      <w:r>
        <w:t>is</w:t>
      </w:r>
      <w:r w:rsidR="00D12A95">
        <w:t xml:space="preserve"> </w:t>
      </w:r>
      <w:r w:rsidR="003674D8">
        <w:t>article</w:t>
      </w:r>
      <w:r w:rsidR="00D12A95" w:rsidRPr="00232F26">
        <w:t xml:space="preserve"> look</w:t>
      </w:r>
      <w:r w:rsidR="00D12A95">
        <w:t>s</w:t>
      </w:r>
      <w:r w:rsidR="00D12A95" w:rsidRPr="00232F26">
        <w:t xml:space="preserve"> at </w:t>
      </w:r>
      <w:r w:rsidR="00D12A95">
        <w:t>how social</w:t>
      </w:r>
      <w:r w:rsidR="00D12A95" w:rsidRPr="00232F26">
        <w:t xml:space="preserve"> protest </w:t>
      </w:r>
      <w:r w:rsidR="00D12A95">
        <w:t>contributes to</w:t>
      </w:r>
      <w:r w:rsidR="00913839">
        <w:t xml:space="preserve"> institutional reforms in both new and established democracies. </w:t>
      </w:r>
      <w:r w:rsidR="002156D5">
        <w:t xml:space="preserve">Scholars interested in social movements have for decades debated </w:t>
      </w:r>
      <w:r w:rsidR="002156D5">
        <w:lastRenderedPageBreak/>
        <w:t>democracy’s effect on dissent—that is, whether democracy increases or dampens protest. Comparatively speaking, less has been written about how protest affects democracy (</w:t>
      </w:r>
      <w:proofErr w:type="spellStart"/>
      <w:r w:rsidR="002156D5" w:rsidRPr="00232F26">
        <w:t>Giugni</w:t>
      </w:r>
      <w:proofErr w:type="spellEnd"/>
      <w:r w:rsidR="002156D5">
        <w:t xml:space="preserve"> </w:t>
      </w:r>
      <w:r w:rsidR="002156D5" w:rsidRPr="00232F26">
        <w:t>1998</w:t>
      </w:r>
      <w:r w:rsidR="002156D5">
        <w:t>, 1999).</w:t>
      </w:r>
      <w:r w:rsidR="002156D5">
        <w:rPr>
          <w:rStyle w:val="EndnoteReference"/>
        </w:rPr>
        <w:endnoteReference w:id="3"/>
      </w:r>
      <w:r w:rsidR="002156D5">
        <w:t xml:space="preserve"> While social protest is linked with measures of good governance (</w:t>
      </w:r>
      <w:proofErr w:type="spellStart"/>
      <w:r w:rsidR="002156D5">
        <w:t>Welzel</w:t>
      </w:r>
      <w:proofErr w:type="spellEnd"/>
      <w:r w:rsidR="002156D5">
        <w:t xml:space="preserve"> et al. 2005, 140), little is known about how precisely protest activity </w:t>
      </w:r>
      <w:r w:rsidR="00572CCF">
        <w:t>results in institutional reforms</w:t>
      </w:r>
      <w:r w:rsidR="002156D5">
        <w:t>.</w:t>
      </w:r>
      <w:r w:rsidR="009E6161">
        <w:rPr>
          <w:rStyle w:val="EndnoteReference"/>
        </w:rPr>
        <w:endnoteReference w:id="4"/>
      </w:r>
      <w:r w:rsidR="002156D5">
        <w:t xml:space="preserve"> </w:t>
      </w:r>
    </w:p>
    <w:p w:rsidR="00D12A95" w:rsidRDefault="00913839" w:rsidP="00913839">
      <w:pPr>
        <w:spacing w:line="480" w:lineRule="auto"/>
        <w:ind w:firstLine="720"/>
      </w:pPr>
      <w:r>
        <w:lastRenderedPageBreak/>
        <w:t xml:space="preserve">It is by now well established that social movements can </w:t>
      </w:r>
      <w:r w:rsidR="005734B6">
        <w:t>change</w:t>
      </w:r>
      <w:r>
        <w:t xml:space="preserve"> their environment</w:t>
      </w:r>
      <w:r w:rsidR="005734B6">
        <w:t xml:space="preserve"> in three different ways</w:t>
      </w:r>
      <w:r>
        <w:t xml:space="preserve">: </w:t>
      </w:r>
      <w:r w:rsidR="005734B6">
        <w:t xml:space="preserve">by </w:t>
      </w:r>
      <w:r>
        <w:t>elevating the status of challengers vis-à-vis third parties and authorities; catalyzing changes in policy; and bringing about transformations in society, the political system, and/or prevailing beliefs (</w:t>
      </w:r>
      <w:proofErr w:type="spellStart"/>
      <w:r>
        <w:t>Kitschelt</w:t>
      </w:r>
      <w:proofErr w:type="spellEnd"/>
      <w:r>
        <w:t xml:space="preserve"> 1986; </w:t>
      </w:r>
      <w:proofErr w:type="spellStart"/>
      <w:r>
        <w:t>Giugni</w:t>
      </w:r>
      <w:proofErr w:type="spellEnd"/>
      <w:r>
        <w:t xml:space="preserve"> 1998, 1999). Social movement scholars have particularly focused on changes </w:t>
      </w:r>
      <w:r w:rsidR="00484B1E">
        <w:t xml:space="preserve">in government policy </w:t>
      </w:r>
      <w:r>
        <w:t xml:space="preserve">as a measurable outcome of </w:t>
      </w:r>
      <w:r w:rsidR="005734B6">
        <w:t>protest</w:t>
      </w:r>
      <w:r>
        <w:t xml:space="preserve"> activity since these changes can be </w:t>
      </w:r>
      <w:r w:rsidR="00DB75D0">
        <w:t xml:space="preserve">more </w:t>
      </w:r>
      <w:r>
        <w:t>easily measured and explained</w:t>
      </w:r>
      <w:r w:rsidR="00DB75D0">
        <w:t xml:space="preserve"> than</w:t>
      </w:r>
      <w:r w:rsidR="00810984">
        <w:t xml:space="preserve"> the </w:t>
      </w:r>
      <w:r w:rsidR="00122B3B">
        <w:t xml:space="preserve">whole </w:t>
      </w:r>
      <w:r w:rsidR="00810984">
        <w:t>range of movement outcomes</w:t>
      </w:r>
      <w:r>
        <w:t xml:space="preserve"> (</w:t>
      </w:r>
      <w:proofErr w:type="spellStart"/>
      <w:r>
        <w:t>Giugni</w:t>
      </w:r>
      <w:proofErr w:type="spellEnd"/>
      <w:r>
        <w:t xml:space="preserve"> 1999, xxii). </w:t>
      </w:r>
      <w:r w:rsidR="00E44993">
        <w:t>T</w:t>
      </w:r>
      <w:r>
        <w:t xml:space="preserve">his </w:t>
      </w:r>
      <w:r w:rsidR="003674D8">
        <w:t>article</w:t>
      </w:r>
      <w:r>
        <w:t xml:space="preserve"> </w:t>
      </w:r>
      <w:r w:rsidR="002156D5">
        <w:t>examines</w:t>
      </w:r>
      <w:r>
        <w:t xml:space="preserve"> systemic changes</w:t>
      </w:r>
      <w:r w:rsidR="00AD7107">
        <w:t xml:space="preserve"> instead</w:t>
      </w:r>
      <w:r>
        <w:t>, both because they matter in their own right, and because they</w:t>
      </w:r>
      <w:r w:rsidR="00122B3B">
        <w:t xml:space="preserve"> </w:t>
      </w:r>
      <w:r w:rsidR="00DB75D0">
        <w:t>can</w:t>
      </w:r>
      <w:r>
        <w:t xml:space="preserve"> alter power relations between social movements and their surroundings. </w:t>
      </w:r>
    </w:p>
    <w:p w:rsidR="004B6447" w:rsidRDefault="00C66078" w:rsidP="00BB62CF">
      <w:pPr>
        <w:spacing w:line="480" w:lineRule="auto"/>
        <w:ind w:firstLine="720"/>
      </w:pPr>
      <w:r>
        <w:t xml:space="preserve">I define reforms as changes </w:t>
      </w:r>
      <w:r w:rsidR="0020359D">
        <w:t>to the rules</w:t>
      </w:r>
      <w:r w:rsidR="00D44226">
        <w:t xml:space="preserve"> governing society that </w:t>
      </w:r>
      <w:r w:rsidR="00737808">
        <w:t xml:space="preserve">transcend discrete </w:t>
      </w:r>
      <w:r w:rsidR="005842E6">
        <w:t xml:space="preserve">policies, leading to </w:t>
      </w:r>
      <w:r w:rsidR="00D44226">
        <w:t>“behavioral regularities”</w:t>
      </w:r>
      <w:r w:rsidR="00CE232D">
        <w:t xml:space="preserve"> (Gr</w:t>
      </w:r>
      <w:r w:rsidR="00D44226">
        <w:t>e</w:t>
      </w:r>
      <w:r w:rsidR="00CE232D">
        <w:t>i</w:t>
      </w:r>
      <w:r w:rsidR="00D44226">
        <w:t xml:space="preserve">f and </w:t>
      </w:r>
      <w:proofErr w:type="spellStart"/>
      <w:r w:rsidR="00D44226">
        <w:t>Laitin</w:t>
      </w:r>
      <w:proofErr w:type="spellEnd"/>
      <w:r w:rsidR="00D44226">
        <w:t xml:space="preserve"> 2004, 635). While </w:t>
      </w:r>
      <w:r w:rsidR="00E95E99">
        <w:t>these changes</w:t>
      </w:r>
      <w:r w:rsidR="00D44226">
        <w:t xml:space="preserve"> </w:t>
      </w:r>
      <w:r w:rsidR="008853CF">
        <w:t>need not be permanent</w:t>
      </w:r>
      <w:r w:rsidR="00AE7FD3">
        <w:t xml:space="preserve"> or formal</w:t>
      </w:r>
      <w:r w:rsidR="00D44226">
        <w:t xml:space="preserve">, </w:t>
      </w:r>
      <w:r w:rsidR="00500F15">
        <w:t xml:space="preserve">it is important </w:t>
      </w:r>
      <w:r w:rsidR="00E95E99">
        <w:t xml:space="preserve">that </w:t>
      </w:r>
      <w:r w:rsidR="005842E6">
        <w:t>they go beyond</w:t>
      </w:r>
      <w:r w:rsidR="00E95E99">
        <w:t xml:space="preserve"> </w:t>
      </w:r>
      <w:r w:rsidR="00957639">
        <w:t xml:space="preserve">the expression of </w:t>
      </w:r>
      <w:r w:rsidR="00737808">
        <w:t>norms or expectations</w:t>
      </w:r>
      <w:r w:rsidR="00E95E99">
        <w:t xml:space="preserve"> </w:t>
      </w:r>
      <w:r w:rsidR="00737808">
        <w:t xml:space="preserve">that may not </w:t>
      </w:r>
      <w:r w:rsidR="00E95E99">
        <w:t>be properly enforced</w:t>
      </w:r>
      <w:r w:rsidR="00BC69A7">
        <w:t xml:space="preserve">. </w:t>
      </w:r>
      <w:r w:rsidR="00AE7FD3">
        <w:t xml:space="preserve">Consequently, we speak of reforms when changes in the polity “motivate, coordinate, and enable individuals to follow particular regularities of behavior.” </w:t>
      </w:r>
      <w:proofErr w:type="gramStart"/>
      <w:r w:rsidR="00AE7FD3">
        <w:t xml:space="preserve">(Greif and </w:t>
      </w:r>
      <w:proofErr w:type="spellStart"/>
      <w:r w:rsidR="00AE7FD3">
        <w:t>Laitin</w:t>
      </w:r>
      <w:proofErr w:type="spellEnd"/>
      <w:r w:rsidR="00AE7FD3">
        <w:t xml:space="preserve"> 2004, 635).</w:t>
      </w:r>
      <w:proofErr w:type="gramEnd"/>
      <w:r w:rsidR="00AE7FD3">
        <w:t xml:space="preserve"> </w:t>
      </w:r>
      <w:r w:rsidR="00D827BF">
        <w:t>As markers</w:t>
      </w:r>
      <w:r w:rsidR="00122B3B">
        <w:t xml:space="preserve"> of institutional</w:t>
      </w:r>
      <w:r w:rsidR="00D827BF">
        <w:t xml:space="preserve"> reform</w:t>
      </w:r>
      <w:r w:rsidR="00122B3B">
        <w:t>, t</w:t>
      </w:r>
      <w:r w:rsidR="00913839">
        <w:t xml:space="preserve">he </w:t>
      </w:r>
      <w:r w:rsidR="003674D8">
        <w:t>article</w:t>
      </w:r>
      <w:r w:rsidR="00913839">
        <w:t xml:space="preserve"> evaluates </w:t>
      </w:r>
      <w:r w:rsidR="001E7757">
        <w:t xml:space="preserve">the effect of social protest on </w:t>
      </w:r>
      <w:r w:rsidR="00913839">
        <w:t xml:space="preserve">changes in the protection of </w:t>
      </w:r>
      <w:r w:rsidR="001E7757">
        <w:t xml:space="preserve">workers’ rights, </w:t>
      </w:r>
      <w:r w:rsidR="00F8284F">
        <w:t>women’s political rights</w:t>
      </w:r>
      <w:r w:rsidR="00913839">
        <w:t xml:space="preserve">, and the ability of other branches of government to constrain chief executives. </w:t>
      </w:r>
      <w:r w:rsidR="001E7757">
        <w:t xml:space="preserve">Three important findings emerge </w:t>
      </w:r>
      <w:r w:rsidR="00D12A95">
        <w:t xml:space="preserve">in </w:t>
      </w:r>
      <w:r w:rsidR="001E7757">
        <w:t xml:space="preserve">this regard: </w:t>
      </w:r>
      <w:r w:rsidR="00233034">
        <w:t>strikes</w:t>
      </w:r>
      <w:r w:rsidR="00D12A95">
        <w:t xml:space="preserve"> </w:t>
      </w:r>
      <w:r w:rsidR="00AE5525">
        <w:t>promote worker’s rights</w:t>
      </w:r>
      <w:r w:rsidR="00877052">
        <w:t xml:space="preserve"> </w:t>
      </w:r>
      <w:r w:rsidR="00F8284F">
        <w:t>while general strikes advance women’s political rights</w:t>
      </w:r>
      <w:r w:rsidR="00D12A95">
        <w:t xml:space="preserve">. </w:t>
      </w:r>
      <w:r w:rsidR="001E7757">
        <w:t>Additionally,</w:t>
      </w:r>
      <w:r w:rsidR="00BB62CF">
        <w:t xml:space="preserve"> </w:t>
      </w:r>
      <w:r w:rsidR="00877052">
        <w:t xml:space="preserve">anti-government demonstrations </w:t>
      </w:r>
      <w:r w:rsidR="00877052">
        <w:lastRenderedPageBreak/>
        <w:t xml:space="preserve">constrain executives </w:t>
      </w:r>
      <w:r w:rsidR="00CC0F50">
        <w:t xml:space="preserve">while riots empower them </w:t>
      </w:r>
      <w:r w:rsidR="00877052">
        <w:t>when the government is cohesive</w:t>
      </w:r>
      <w:r w:rsidR="00BB62CF">
        <w:t xml:space="preserve">. </w:t>
      </w:r>
      <w:r w:rsidR="00DD1AD8">
        <w:t>Regarding the mechanisms behind these changes, t</w:t>
      </w:r>
      <w:r w:rsidR="004B6447">
        <w:t xml:space="preserve">he analysis reveals that </w:t>
      </w:r>
      <w:r w:rsidR="00932948">
        <w:t xml:space="preserve">whereas </w:t>
      </w:r>
      <w:r w:rsidR="00F605A5">
        <w:t>strikes</w:t>
      </w:r>
      <w:r w:rsidR="00044D69">
        <w:t xml:space="preserve"> </w:t>
      </w:r>
      <w:r w:rsidR="00E44993">
        <w:t xml:space="preserve">affect </w:t>
      </w:r>
      <w:r w:rsidR="00575A7C">
        <w:t xml:space="preserve">workers’ rights </w:t>
      </w:r>
      <w:r w:rsidR="00E44993">
        <w:t>directly</w:t>
      </w:r>
      <w:r w:rsidR="00932948">
        <w:t xml:space="preserve">, </w:t>
      </w:r>
      <w:r w:rsidR="00044D69">
        <w:t xml:space="preserve">general strikes </w:t>
      </w:r>
      <w:r w:rsidR="004B6447">
        <w:t>affect</w:t>
      </w:r>
      <w:r w:rsidR="00044D69">
        <w:t xml:space="preserve"> women’s political rights </w:t>
      </w:r>
      <w:r w:rsidR="004B6447">
        <w:t>indirectly through</w:t>
      </w:r>
      <w:r w:rsidR="00044D69">
        <w:t xml:space="preserve"> </w:t>
      </w:r>
      <w:r w:rsidR="00CB4613">
        <w:t>the institution of an</w:t>
      </w:r>
      <w:r w:rsidR="004B6447">
        <w:t xml:space="preserve"> independent judiciary</w:t>
      </w:r>
      <w:r w:rsidR="00044D69">
        <w:t>.</w:t>
      </w:r>
      <w:r w:rsidR="00913839">
        <w:t xml:space="preserve"> </w:t>
      </w:r>
      <w:r w:rsidR="00877052">
        <w:t>Antigovernment demonstrations and riots</w:t>
      </w:r>
      <w:r w:rsidR="00044D69">
        <w:t xml:space="preserve"> </w:t>
      </w:r>
      <w:r w:rsidR="00BA6E69">
        <w:t>likewise</w:t>
      </w:r>
      <w:r w:rsidR="00CC0F50">
        <w:t xml:space="preserve"> </w:t>
      </w:r>
      <w:r w:rsidR="00E44993">
        <w:t xml:space="preserve">constraint the </w:t>
      </w:r>
      <w:r w:rsidR="00044D69">
        <w:t xml:space="preserve">executive </w:t>
      </w:r>
      <w:r w:rsidR="00877052">
        <w:t>indirectly</w:t>
      </w:r>
      <w:r w:rsidR="00044D69">
        <w:t xml:space="preserve">, </w:t>
      </w:r>
      <w:r w:rsidR="00877052">
        <w:t xml:space="preserve">through </w:t>
      </w:r>
      <w:r w:rsidR="00AE5525">
        <w:t>the behavior of</w:t>
      </w:r>
      <w:r w:rsidR="00877052">
        <w:t xml:space="preserve"> actors in other branches of government</w:t>
      </w:r>
      <w:r w:rsidR="00044D69">
        <w:t xml:space="preserve">. </w:t>
      </w:r>
    </w:p>
    <w:p w:rsidR="0056030C" w:rsidRDefault="004B6447" w:rsidP="00A970F9">
      <w:pPr>
        <w:spacing w:line="480" w:lineRule="auto"/>
        <w:ind w:firstLine="720"/>
      </w:pPr>
      <w:r>
        <w:t>I begin th</w:t>
      </w:r>
      <w:r w:rsidR="00CB4613">
        <w:t>e</w:t>
      </w:r>
      <w:r>
        <w:t xml:space="preserve"> </w:t>
      </w:r>
      <w:r w:rsidR="003674D8">
        <w:t>article</w:t>
      </w:r>
      <w:r>
        <w:t xml:space="preserve"> </w:t>
      </w:r>
      <w:r w:rsidR="00954EED">
        <w:t>by discussing</w:t>
      </w:r>
      <w:r>
        <w:t xml:space="preserve"> </w:t>
      </w:r>
      <w:r w:rsidR="00593BBE">
        <w:t xml:space="preserve">how to conceptualize and measure </w:t>
      </w:r>
      <w:r w:rsidR="00BB62CF">
        <w:t xml:space="preserve">democratic </w:t>
      </w:r>
      <w:r w:rsidR="00593BBE">
        <w:t xml:space="preserve">governance and institutional </w:t>
      </w:r>
      <w:r w:rsidR="00BB62CF">
        <w:t>reform</w:t>
      </w:r>
      <w:r w:rsidR="00593BBE">
        <w:t>s</w:t>
      </w:r>
      <w:r w:rsidR="00BB62CF">
        <w:t>.</w:t>
      </w:r>
      <w:r w:rsidR="00593BBE">
        <w:t xml:space="preserve"> I then offer some observations on the kinds of protest activities that are most likely to take place in democracies and the mechanisms </w:t>
      </w:r>
      <w:r w:rsidR="007F0109">
        <w:t>linking these protests to</w:t>
      </w:r>
      <w:r w:rsidR="005E28F6">
        <w:t xml:space="preserve"> institutional</w:t>
      </w:r>
      <w:r w:rsidR="00CB4613">
        <w:t xml:space="preserve"> reforms</w:t>
      </w:r>
      <w:r w:rsidR="00593BBE">
        <w:t xml:space="preserve">. </w:t>
      </w:r>
      <w:r w:rsidR="005E28F6">
        <w:t xml:space="preserve">The </w:t>
      </w:r>
      <w:r w:rsidR="009B05DF">
        <w:t>fourth</w:t>
      </w:r>
      <w:r w:rsidR="005E28F6">
        <w:t xml:space="preserve"> section</w:t>
      </w:r>
      <w:r w:rsidR="00CB4613">
        <w:t xml:space="preserve"> present</w:t>
      </w:r>
      <w:r w:rsidR="005E28F6">
        <w:t>s</w:t>
      </w:r>
      <w:r w:rsidR="00CB4613">
        <w:t xml:space="preserve"> an analysis of </w:t>
      </w:r>
      <w:r w:rsidR="00A71983">
        <w:t>democratic governance</w:t>
      </w:r>
      <w:r w:rsidR="00326487">
        <w:t xml:space="preserve"> followed by a study of </w:t>
      </w:r>
      <w:r w:rsidR="00CB4613">
        <w:t xml:space="preserve">the determinants of democratic reforms in 78 countries from 1994-2007. The final section concludes with </w:t>
      </w:r>
      <w:r w:rsidR="00954EED">
        <w:t>some ideas for shaping policy</w:t>
      </w:r>
      <w:r w:rsidR="00CB4613">
        <w:t xml:space="preserve">. </w:t>
      </w:r>
    </w:p>
    <w:p w:rsidR="0056030C" w:rsidRDefault="00BB62CF" w:rsidP="00A970F9">
      <w:pPr>
        <w:spacing w:line="480" w:lineRule="auto"/>
        <w:rPr>
          <w:b/>
        </w:rPr>
      </w:pPr>
      <w:r w:rsidRPr="00030649">
        <w:rPr>
          <w:b/>
        </w:rPr>
        <w:t xml:space="preserve">Markers of </w:t>
      </w:r>
      <w:r w:rsidR="00D827BF">
        <w:rPr>
          <w:b/>
        </w:rPr>
        <w:t>D</w:t>
      </w:r>
      <w:r w:rsidRPr="00030649">
        <w:rPr>
          <w:b/>
        </w:rPr>
        <w:t xml:space="preserve">emocratic </w:t>
      </w:r>
      <w:r w:rsidR="00D827BF">
        <w:rPr>
          <w:b/>
        </w:rPr>
        <w:t>R</w:t>
      </w:r>
      <w:r w:rsidRPr="00030649">
        <w:rPr>
          <w:b/>
        </w:rPr>
        <w:t>eform</w:t>
      </w:r>
    </w:p>
    <w:p w:rsidR="00BB62CF" w:rsidRDefault="00BB62CF" w:rsidP="002156D5">
      <w:pPr>
        <w:spacing w:line="480" w:lineRule="auto"/>
        <w:ind w:firstLine="720"/>
      </w:pPr>
      <w:r>
        <w:t xml:space="preserve">The most expansive definitions of liberal democracy sketch a vision of society where </w:t>
      </w:r>
      <w:r w:rsidR="00523F44">
        <w:t xml:space="preserve">individuals enjoy certain </w:t>
      </w:r>
      <w:r w:rsidR="0051058C">
        <w:t>rights</w:t>
      </w:r>
      <w:r w:rsidR="00523F44">
        <w:t xml:space="preserve"> </w:t>
      </w:r>
      <w:r w:rsidR="003E10B7">
        <w:t xml:space="preserve">or freedoms </w:t>
      </w:r>
      <w:r w:rsidR="00523F44">
        <w:t xml:space="preserve">in both the private domain and the </w:t>
      </w:r>
      <w:r w:rsidR="003E10B7">
        <w:t>political</w:t>
      </w:r>
      <w:r w:rsidR="00523F44">
        <w:t xml:space="preserve"> arena (</w:t>
      </w:r>
      <w:proofErr w:type="spellStart"/>
      <w:r w:rsidR="00523F44">
        <w:t>Welzel</w:t>
      </w:r>
      <w:proofErr w:type="spellEnd"/>
      <w:r w:rsidR="00523F44">
        <w:t xml:space="preserve"> 2013)</w:t>
      </w:r>
      <w:r>
        <w:t xml:space="preserve">. </w:t>
      </w:r>
      <w:r w:rsidR="00F605A5">
        <w:t xml:space="preserve">These freedoms </w:t>
      </w:r>
      <w:r w:rsidR="00FF23D1">
        <w:t>should</w:t>
      </w:r>
      <w:r w:rsidR="00F605A5">
        <w:t xml:space="preserve"> </w:t>
      </w:r>
      <w:r w:rsidR="009B05DF">
        <w:t>result in</w:t>
      </w:r>
      <w:r w:rsidR="000857E3">
        <w:t xml:space="preserve"> a great deal of </w:t>
      </w:r>
      <w:r w:rsidR="00326487">
        <w:t xml:space="preserve">individual and </w:t>
      </w:r>
      <w:r w:rsidR="009B05DF">
        <w:t xml:space="preserve">collective </w:t>
      </w:r>
      <w:r w:rsidR="000857E3">
        <w:t xml:space="preserve">representation, meaningful participation, </w:t>
      </w:r>
      <w:r w:rsidR="00A71983">
        <w:t xml:space="preserve">vertical </w:t>
      </w:r>
      <w:r w:rsidR="000857E3">
        <w:t>accountability</w:t>
      </w:r>
      <w:r w:rsidR="00F605A5">
        <w:t>, and equality of opportunities</w:t>
      </w:r>
      <w:r w:rsidR="009B05DF">
        <w:t xml:space="preserve"> for citizens</w:t>
      </w:r>
      <w:r w:rsidR="000857E3">
        <w:t xml:space="preserve">. </w:t>
      </w:r>
      <w:r>
        <w:t xml:space="preserve">For the purposes of this </w:t>
      </w:r>
      <w:r w:rsidR="003674D8">
        <w:t>article</w:t>
      </w:r>
      <w:r>
        <w:t>, I take the existence of many imperfect democracies</w:t>
      </w:r>
      <w:r w:rsidR="00EA2DAF">
        <w:t xml:space="preserve">—particularly </w:t>
      </w:r>
      <w:r>
        <w:t>in the developing world</w:t>
      </w:r>
      <w:r w:rsidR="00EA2DAF">
        <w:t xml:space="preserve">—as </w:t>
      </w:r>
      <w:r w:rsidR="005734B6">
        <w:t>a reality and argue that</w:t>
      </w:r>
      <w:r>
        <w:t xml:space="preserve"> changes that result in a more accountable and participatory political system can be considered indicators of </w:t>
      </w:r>
      <w:r w:rsidR="00AD7107">
        <w:t xml:space="preserve">institutional </w:t>
      </w:r>
      <w:r>
        <w:t>reform. I make the assumption that guaranteeing and protecting certain rights helps democracies become more equitable and representative, but</w:t>
      </w:r>
      <w:r w:rsidR="005734B6">
        <w:t xml:space="preserve"> </w:t>
      </w:r>
      <w:r w:rsidR="000857E3" w:rsidRPr="000857E3">
        <w:t>the analysis I present is more definitive with respect to changes that make democracies more participatory and accountable</w:t>
      </w:r>
      <w:r>
        <w:t>.</w:t>
      </w:r>
      <w:r w:rsidR="00834E6C">
        <w:rPr>
          <w:rStyle w:val="EndnoteReference"/>
        </w:rPr>
        <w:endnoteReference w:id="5"/>
      </w:r>
      <w:r>
        <w:t xml:space="preserve"> Political scientists tend to focus on representation and participation, the two processes that serve to </w:t>
      </w:r>
      <w:r>
        <w:lastRenderedPageBreak/>
        <w:t>minimally distinguish democratic regimes from their alternatives, but</w:t>
      </w:r>
      <w:r w:rsidR="000857E3">
        <w:t xml:space="preserve"> how governments create political accountability is equally important</w:t>
      </w:r>
      <w:r>
        <w:t xml:space="preserve">. I have selected </w:t>
      </w:r>
      <w:r w:rsidR="00F36549">
        <w:t>three</w:t>
      </w:r>
      <w:r>
        <w:t xml:space="preserve"> measures of reform for consideration: the protection of </w:t>
      </w:r>
      <w:r w:rsidR="00F36549">
        <w:t>workers’ rights</w:t>
      </w:r>
      <w:r w:rsidR="008F4B63">
        <w:t>; the protection of</w:t>
      </w:r>
      <w:r w:rsidR="00F36549">
        <w:t xml:space="preserve"> women’s</w:t>
      </w:r>
      <w:r>
        <w:t xml:space="preserve"> </w:t>
      </w:r>
      <w:r w:rsidR="00F36549">
        <w:t>political rights</w:t>
      </w:r>
      <w:r w:rsidR="008F4B63">
        <w:t>;</w:t>
      </w:r>
      <w:r>
        <w:t xml:space="preserve"> and </w:t>
      </w:r>
      <w:r w:rsidR="005F28B1">
        <w:t xml:space="preserve">more constrained executives. </w:t>
      </w:r>
    </w:p>
    <w:p w:rsidR="008C4AEF" w:rsidRDefault="008C4AEF" w:rsidP="002156D5">
      <w:pPr>
        <w:spacing w:line="480" w:lineRule="auto"/>
        <w:ind w:firstLine="720"/>
      </w:pPr>
      <w:r>
        <w:t>Workers’ rights refer to the freedom of association at the workplace and the right to bargain collectively with employers, as well as “the prohibition on the use of any form of forced or compulsory labor; a minimum age for the employment of children; and acceptable conditions of work with respect to minimum wages, hours of work, and occupational safety and health” (</w:t>
      </w:r>
      <w:proofErr w:type="spellStart"/>
      <w:r>
        <w:t>Cingranelli</w:t>
      </w:r>
      <w:proofErr w:type="spellEnd"/>
      <w:r>
        <w:t xml:space="preserve"> and Richards 2010).</w:t>
      </w:r>
      <w:r>
        <w:rPr>
          <w:rStyle w:val="EndnoteReference"/>
        </w:rPr>
        <w:endnoteReference w:id="6"/>
      </w:r>
      <w:r w:rsidRPr="008C4AEF">
        <w:t xml:space="preserve"> </w:t>
      </w:r>
      <w:r>
        <w:t xml:space="preserve">Women’s political rights </w:t>
      </w:r>
      <w:r w:rsidR="0035473B">
        <w:t xml:space="preserve">refer to women’s </w:t>
      </w:r>
      <w:r>
        <w:t xml:space="preserve">right to vote, run for political </w:t>
      </w:r>
      <w:proofErr w:type="gramStart"/>
      <w:r>
        <w:t>office,</w:t>
      </w:r>
      <w:proofErr w:type="gramEnd"/>
      <w:r>
        <w:t xml:space="preserve"> hold elected and appointed government positions, join political parties, and petition government officials (</w:t>
      </w:r>
      <w:proofErr w:type="spellStart"/>
      <w:r>
        <w:t>Cingranelli</w:t>
      </w:r>
      <w:proofErr w:type="spellEnd"/>
      <w:r>
        <w:t xml:space="preserve"> and Richards 2010).</w:t>
      </w:r>
      <w:r w:rsidR="0035473B">
        <w:t xml:space="preserve"> </w:t>
      </w:r>
      <w:r w:rsidR="00E506DA">
        <w:t xml:space="preserve">Executive constraints </w:t>
      </w:r>
      <w:r w:rsidR="00F605A5">
        <w:t>include “</w:t>
      </w:r>
      <w:r w:rsidR="00E506DA">
        <w:t xml:space="preserve">the extent to which the executive can make decisions unilaterally, can be held accountable” (Converse and </w:t>
      </w:r>
      <w:proofErr w:type="spellStart"/>
      <w:r w:rsidR="00E506DA">
        <w:t>Kapstein</w:t>
      </w:r>
      <w:proofErr w:type="spellEnd"/>
      <w:r w:rsidR="00E506DA">
        <w:t xml:space="preserve"> 2008, 136)</w:t>
      </w:r>
      <w:r w:rsidR="00D964F0">
        <w:t>,</w:t>
      </w:r>
      <w:r w:rsidR="00E506DA">
        <w:t xml:space="preserve"> and have its proposals defeated by other branches of government (</w:t>
      </w:r>
      <w:proofErr w:type="spellStart"/>
      <w:r w:rsidR="00E506DA">
        <w:t>Kapstein</w:t>
      </w:r>
      <w:proofErr w:type="spellEnd"/>
      <w:r w:rsidR="00E506DA">
        <w:t xml:space="preserve"> and Converse 2008, 55). </w:t>
      </w:r>
    </w:p>
    <w:p w:rsidR="002156D5" w:rsidRDefault="00AB2FE6" w:rsidP="002156D5">
      <w:pPr>
        <w:spacing w:line="480" w:lineRule="auto"/>
        <w:ind w:firstLine="720"/>
      </w:pPr>
      <w:r>
        <w:t xml:space="preserve">These measures of reform </w:t>
      </w:r>
      <w:r w:rsidR="004B4FF4">
        <w:t>are clearly related to</w:t>
      </w:r>
      <w:r>
        <w:t xml:space="preserve"> </w:t>
      </w:r>
      <w:r w:rsidR="00A970F9">
        <w:t>questions about the quality of democracy</w:t>
      </w:r>
      <w:r>
        <w:t xml:space="preserve">. </w:t>
      </w:r>
      <w:r w:rsidR="002A568E">
        <w:t xml:space="preserve">Beginning with </w:t>
      </w:r>
      <w:r w:rsidR="00F36549">
        <w:t>Dahl (1971, 3)</w:t>
      </w:r>
      <w:r w:rsidR="002A568E">
        <w:t xml:space="preserve">, political scientists have conceived of democracy </w:t>
      </w:r>
      <w:r w:rsidR="00F36549">
        <w:t xml:space="preserve">as a system that provides </w:t>
      </w:r>
      <w:r>
        <w:t xml:space="preserve">certain </w:t>
      </w:r>
      <w:r w:rsidR="00F36549">
        <w:t>institutional guarantees: the freedom to form and join organizations</w:t>
      </w:r>
      <w:r w:rsidR="0093764D">
        <w:t>;</w:t>
      </w:r>
      <w:r w:rsidR="00F36549">
        <w:t xml:space="preserve"> freedom of expression</w:t>
      </w:r>
      <w:r w:rsidR="0093764D">
        <w:t>;</w:t>
      </w:r>
      <w:r w:rsidR="00F36549">
        <w:t xml:space="preserve"> the right to vote</w:t>
      </w:r>
      <w:r w:rsidR="0093764D">
        <w:t xml:space="preserve">; </w:t>
      </w:r>
      <w:r w:rsidR="00F36549">
        <w:t>the right to co</w:t>
      </w:r>
      <w:r w:rsidR="00954EED">
        <w:t>mpete for political support;</w:t>
      </w:r>
      <w:r w:rsidR="00F36549">
        <w:t xml:space="preserve"> the existence of broad eligibility for public office</w:t>
      </w:r>
      <w:r w:rsidR="0093764D">
        <w:t>;</w:t>
      </w:r>
      <w:r w:rsidR="00F36549">
        <w:t xml:space="preserve"> alternative sources of infor</w:t>
      </w:r>
      <w:r w:rsidR="00F63922">
        <w:t>mation</w:t>
      </w:r>
      <w:r w:rsidR="0093764D">
        <w:t>;</w:t>
      </w:r>
      <w:r w:rsidR="00F63922">
        <w:t xml:space="preserve"> free and fair elections;</w:t>
      </w:r>
      <w:r w:rsidR="00F36549">
        <w:t xml:space="preserve"> and institutions for linking government policies to votes and other expressions of citizens’ preferences.</w:t>
      </w:r>
      <w:r w:rsidR="002A568E" w:rsidRPr="002A568E">
        <w:rPr>
          <w:rStyle w:val="EndnoteReference"/>
        </w:rPr>
        <w:t xml:space="preserve"> </w:t>
      </w:r>
      <w:r w:rsidR="002A568E">
        <w:rPr>
          <w:rStyle w:val="EndnoteReference"/>
        </w:rPr>
        <w:endnoteReference w:id="7"/>
      </w:r>
      <w:r w:rsidR="00F36549">
        <w:t xml:space="preserve"> As we can see, five of these guarantees invoke the words “freedom</w:t>
      </w:r>
      <w:r w:rsidR="0093764D">
        <w:t>,</w:t>
      </w:r>
      <w:r w:rsidR="00F36549">
        <w:t>” “free</w:t>
      </w:r>
      <w:r w:rsidR="0093764D">
        <w:t>,</w:t>
      </w:r>
      <w:r w:rsidR="00F36549">
        <w:t>” or “right”.</w:t>
      </w:r>
      <w:r w:rsidR="00DC2A8E">
        <w:t xml:space="preserve"> </w:t>
      </w:r>
      <w:r w:rsidR="007F0109">
        <w:t xml:space="preserve">Historically, </w:t>
      </w:r>
      <w:r w:rsidR="003E10B7">
        <w:t xml:space="preserve">the </w:t>
      </w:r>
      <w:r w:rsidR="007F0109">
        <w:t>freedom</w:t>
      </w:r>
      <w:r w:rsidR="00E51D00">
        <w:t xml:space="preserve">s Dahl </w:t>
      </w:r>
      <w:r w:rsidR="008971B4">
        <w:t>enumerates also</w:t>
      </w:r>
      <w:r w:rsidR="007F0109">
        <w:t xml:space="preserve"> went hand in hand with increased representation and participation (Diamond 1999; </w:t>
      </w:r>
      <w:proofErr w:type="spellStart"/>
      <w:r w:rsidR="007F0109">
        <w:t>Zakaria</w:t>
      </w:r>
      <w:proofErr w:type="spellEnd"/>
      <w:r w:rsidR="007F0109">
        <w:t xml:space="preserve"> 2004). In </w:t>
      </w:r>
      <w:r w:rsidR="00DA7551">
        <w:t xml:space="preserve">the </w:t>
      </w:r>
      <w:r w:rsidR="007F0109">
        <w:t xml:space="preserve">last few decades, </w:t>
      </w:r>
      <w:r w:rsidR="007F0109">
        <w:lastRenderedPageBreak/>
        <w:t>however, many new democracies demonstrate</w:t>
      </w:r>
      <w:r w:rsidR="00DA7551">
        <w:t>d</w:t>
      </w:r>
      <w:r w:rsidR="007F0109">
        <w:t xml:space="preserve"> severe deficiencies in their ability to guarantee and protect various human rights (e.g., </w:t>
      </w:r>
      <w:proofErr w:type="spellStart"/>
      <w:r w:rsidR="007F0109">
        <w:t>Foweraker</w:t>
      </w:r>
      <w:proofErr w:type="spellEnd"/>
      <w:r w:rsidR="007F0109">
        <w:t xml:space="preserve"> and </w:t>
      </w:r>
      <w:proofErr w:type="spellStart"/>
      <w:r w:rsidR="007F0109" w:rsidRPr="00503153">
        <w:t>Krznaric</w:t>
      </w:r>
      <w:proofErr w:type="spellEnd"/>
      <w:r w:rsidR="007F0109">
        <w:t xml:space="preserve"> 2002). In some countries, the government is technically chosen through popular contests, but civil liberties may not be fully guaranteed or extensively protected (Freedom House, 2012). Th</w:t>
      </w:r>
      <w:r w:rsidR="00DA7551">
        <w:t>is</w:t>
      </w:r>
      <w:r w:rsidR="007F0109">
        <w:t xml:space="preserve"> phenomenon has led some to refer to these countries as “illiberal democracies” (Collier and </w:t>
      </w:r>
      <w:proofErr w:type="spellStart"/>
      <w:r w:rsidR="007F0109">
        <w:t>Levitsky</w:t>
      </w:r>
      <w:proofErr w:type="spellEnd"/>
      <w:r w:rsidR="007F0109">
        <w:t xml:space="preserve"> 1997, 440; Diamond 1999, 4).</w:t>
      </w:r>
      <w:r w:rsidR="007F0109">
        <w:rPr>
          <w:rStyle w:val="EndnoteReference"/>
        </w:rPr>
        <w:endnoteReference w:id="8"/>
      </w:r>
      <w:r w:rsidR="007F0109">
        <w:t xml:space="preserve"> </w:t>
      </w:r>
    </w:p>
    <w:p w:rsidR="00146767" w:rsidRDefault="00146767" w:rsidP="00AE13A8">
      <w:pPr>
        <w:spacing w:line="480" w:lineRule="auto"/>
        <w:ind w:firstLine="720"/>
      </w:pPr>
      <w:r>
        <w:t xml:space="preserve">Dahl clearly intended </w:t>
      </w:r>
      <w:r w:rsidR="00AB2FE6">
        <w:t xml:space="preserve">democracy </w:t>
      </w:r>
      <w:r w:rsidR="00627380">
        <w:t xml:space="preserve">to be synonymous with a </w:t>
      </w:r>
      <w:r w:rsidR="00575A7C">
        <w:t xml:space="preserve">broad and equal exercise of </w:t>
      </w:r>
      <w:r w:rsidR="00627380">
        <w:t>citizenship</w:t>
      </w:r>
      <w:r w:rsidR="000857E3">
        <w:t>. H</w:t>
      </w:r>
      <w:r w:rsidR="00575A7C">
        <w:t>is eight institutional guarantees</w:t>
      </w:r>
      <w:r w:rsidR="000857E3">
        <w:t>, however,</w:t>
      </w:r>
      <w:r w:rsidR="00575A7C">
        <w:t xml:space="preserve"> </w:t>
      </w:r>
      <w:r w:rsidR="00AE13A8">
        <w:t xml:space="preserve">are not broad enough to encompass what some refer </w:t>
      </w:r>
      <w:r w:rsidR="00627380">
        <w:t xml:space="preserve">to as economic and </w:t>
      </w:r>
      <w:r>
        <w:t>social rights</w:t>
      </w:r>
      <w:r w:rsidR="00627380">
        <w:t>.</w:t>
      </w:r>
      <w:r>
        <w:t xml:space="preserve"> </w:t>
      </w:r>
      <w:r w:rsidR="007163DD">
        <w:t>As some scholars have argued, h</w:t>
      </w:r>
      <w:r w:rsidR="00523F44">
        <w:t xml:space="preserve">igh quality democracies </w:t>
      </w:r>
      <w:r w:rsidR="00F47F3B">
        <w:t>not only protect rights</w:t>
      </w:r>
      <w:r w:rsidR="006738E1">
        <w:t xml:space="preserve">, </w:t>
      </w:r>
      <w:r w:rsidR="004F59D3">
        <w:t xml:space="preserve">but also </w:t>
      </w:r>
      <w:r w:rsidR="00F47F3B">
        <w:t xml:space="preserve">establish </w:t>
      </w:r>
      <w:r w:rsidR="00923F49">
        <w:t>equality of opportunities</w:t>
      </w:r>
      <w:r w:rsidR="007163DD">
        <w:t xml:space="preserve"> </w:t>
      </w:r>
      <w:r w:rsidR="007163DD">
        <w:rPr>
          <w:rFonts w:eastAsia="Malgun Gothic"/>
          <w:lang w:eastAsia="ko-KR"/>
        </w:rPr>
        <w:t>(</w:t>
      </w:r>
      <w:proofErr w:type="spellStart"/>
      <w:r w:rsidR="007163DD">
        <w:rPr>
          <w:rFonts w:eastAsia="Malgun Gothic"/>
          <w:lang w:eastAsia="ko-KR"/>
        </w:rPr>
        <w:t>Franceschet</w:t>
      </w:r>
      <w:proofErr w:type="spellEnd"/>
      <w:r w:rsidR="007163DD">
        <w:rPr>
          <w:rFonts w:eastAsia="Malgun Gothic"/>
          <w:lang w:eastAsia="ko-KR"/>
        </w:rPr>
        <w:t xml:space="preserve"> and Macdonald 2004)</w:t>
      </w:r>
      <w:r w:rsidR="004F59D3">
        <w:t xml:space="preserve">. To the extent some individuals and groups have inherited disadvantages that </w:t>
      </w:r>
      <w:r w:rsidR="007163DD">
        <w:t xml:space="preserve">make it difficult for them to </w:t>
      </w:r>
      <w:r w:rsidR="008971B4">
        <w:t xml:space="preserve">realize their </w:t>
      </w:r>
      <w:r w:rsidR="00572CCF">
        <w:t xml:space="preserve">true </w:t>
      </w:r>
      <w:proofErr w:type="gramStart"/>
      <w:r w:rsidR="00572CCF">
        <w:t>potential</w:t>
      </w:r>
      <w:r w:rsidR="00923F49">
        <w:t>,</w:t>
      </w:r>
      <w:proofErr w:type="gramEnd"/>
      <w:r w:rsidR="004F59D3">
        <w:t xml:space="preserve"> the state </w:t>
      </w:r>
      <w:r w:rsidR="00F47F3B">
        <w:t xml:space="preserve">can </w:t>
      </w:r>
      <w:r w:rsidR="0051058C">
        <w:t>enact policies to compensate for these disadvantages</w:t>
      </w:r>
      <w:r w:rsidR="006738E1">
        <w:t xml:space="preserve"> (</w:t>
      </w:r>
      <w:proofErr w:type="spellStart"/>
      <w:r w:rsidR="006738E1">
        <w:t>Welzel</w:t>
      </w:r>
      <w:proofErr w:type="spellEnd"/>
      <w:r w:rsidR="006738E1">
        <w:t xml:space="preserve"> 2013, 45)</w:t>
      </w:r>
      <w:r w:rsidR="00575A7C">
        <w:t>.</w:t>
      </w:r>
      <w:r w:rsidR="00F47F3B" w:rsidRPr="00F47F3B">
        <w:rPr>
          <w:rStyle w:val="EndnoteReference"/>
        </w:rPr>
        <w:t xml:space="preserve"> </w:t>
      </w:r>
      <w:r w:rsidR="00F47F3B">
        <w:rPr>
          <w:rStyle w:val="EndnoteReference"/>
        </w:rPr>
        <w:endnoteReference w:id="9"/>
      </w:r>
      <w:r w:rsidR="00575A7C">
        <w:t xml:space="preserve"> </w:t>
      </w:r>
      <w:r w:rsidR="008971B4">
        <w:t>An important question</w:t>
      </w:r>
      <w:r w:rsidR="003674D8">
        <w:t xml:space="preserve"> then </w:t>
      </w:r>
      <w:r w:rsidR="008971B4">
        <w:t xml:space="preserve">is </w:t>
      </w:r>
      <w:r w:rsidR="0043232B">
        <w:t xml:space="preserve">whether </w:t>
      </w:r>
      <w:r w:rsidR="008971B4">
        <w:t xml:space="preserve">social </w:t>
      </w:r>
      <w:r w:rsidR="00180763">
        <w:t xml:space="preserve">protest </w:t>
      </w:r>
      <w:r w:rsidR="006738E1">
        <w:t>h</w:t>
      </w:r>
      <w:r w:rsidR="008971B4">
        <w:t>elps</w:t>
      </w:r>
      <w:r w:rsidR="006738E1">
        <w:t xml:space="preserve"> </w:t>
      </w:r>
      <w:r w:rsidR="008971B4">
        <w:t>protect</w:t>
      </w:r>
      <w:r w:rsidR="006738E1">
        <w:t xml:space="preserve"> or guarantee</w:t>
      </w:r>
      <w:r w:rsidR="0051058C">
        <w:t xml:space="preserve"> certain </w:t>
      </w:r>
      <w:r w:rsidR="008971B4">
        <w:t xml:space="preserve">social and economic </w:t>
      </w:r>
      <w:r w:rsidR="0051058C">
        <w:t xml:space="preserve">rights such as </w:t>
      </w:r>
      <w:r w:rsidR="003967EB">
        <w:t>women’s political rights and workers’ rights</w:t>
      </w:r>
      <w:r w:rsidR="000C68A2">
        <w:t>.</w:t>
      </w:r>
      <w:r w:rsidR="00AE13A8" w:rsidRPr="00AE13A8">
        <w:t xml:space="preserve"> </w:t>
      </w:r>
      <w:r w:rsidR="00180763">
        <w:t>This is different from trying to identify particular outcomes that can be seen as indicators of the existence of these rights</w:t>
      </w:r>
      <w:r w:rsidR="00DA76D6">
        <w:t xml:space="preserve"> (</w:t>
      </w:r>
      <w:r w:rsidR="00180763">
        <w:t>e.g., generous social spending</w:t>
      </w:r>
      <w:r w:rsidR="00DA76D6">
        <w:t>)</w:t>
      </w:r>
      <w:r w:rsidR="00180763">
        <w:t xml:space="preserve">. The </w:t>
      </w:r>
      <w:r w:rsidR="00F63922">
        <w:t>objective</w:t>
      </w:r>
      <w:r w:rsidR="00180763">
        <w:t xml:space="preserve"> </w:t>
      </w:r>
      <w:r w:rsidR="000857E3">
        <w:t>therefore</w:t>
      </w:r>
      <w:r w:rsidR="0043232B">
        <w:t xml:space="preserve"> </w:t>
      </w:r>
      <w:r w:rsidR="00180763">
        <w:t>is</w:t>
      </w:r>
      <w:r w:rsidR="00AE13A8">
        <w:t xml:space="preserve"> to focus on </w:t>
      </w:r>
      <w:r w:rsidR="000541A3">
        <w:t xml:space="preserve">the </w:t>
      </w:r>
      <w:r w:rsidR="00FF23D1">
        <w:t xml:space="preserve">medium- and long-term </w:t>
      </w:r>
      <w:r w:rsidR="00FF23D1" w:rsidRPr="000C41D2">
        <w:rPr>
          <w:i/>
        </w:rPr>
        <w:t>consequences</w:t>
      </w:r>
      <w:r w:rsidR="00AE13A8">
        <w:t xml:space="preserve"> </w:t>
      </w:r>
      <w:r w:rsidR="000541A3">
        <w:t xml:space="preserve">of social movement activities </w:t>
      </w:r>
      <w:r w:rsidR="00FF23D1">
        <w:t xml:space="preserve">rather than their immediate outcomes </w:t>
      </w:r>
      <w:r w:rsidR="00AE13A8">
        <w:t>(</w:t>
      </w:r>
      <w:proofErr w:type="spellStart"/>
      <w:r w:rsidR="00AE13A8">
        <w:t>Giugni</w:t>
      </w:r>
      <w:proofErr w:type="spellEnd"/>
      <w:r w:rsidR="00AE13A8">
        <w:t xml:space="preserve"> 1998).</w:t>
      </w:r>
    </w:p>
    <w:p w:rsidR="00BB62CF" w:rsidRDefault="00BB62CF" w:rsidP="00BB62CF">
      <w:pPr>
        <w:spacing w:line="480" w:lineRule="auto"/>
        <w:ind w:firstLine="720"/>
      </w:pPr>
      <w:r>
        <w:t xml:space="preserve">Dahl’s framework is minimalist, that is, </w:t>
      </w:r>
      <w:r w:rsidR="00043719">
        <w:t xml:space="preserve">it </w:t>
      </w:r>
      <w:r>
        <w:t>includ</w:t>
      </w:r>
      <w:r w:rsidR="00043719">
        <w:t>es</w:t>
      </w:r>
      <w:r>
        <w:t xml:space="preserve"> as few elements as necessary to make it possible to use analytically. In this conception, democracy is simply a set of procedures that are certain (known to all) for arriving at outcomes that are uncertain and collectively binding (</w:t>
      </w:r>
      <w:proofErr w:type="spellStart"/>
      <w:r>
        <w:t>Przeworski</w:t>
      </w:r>
      <w:proofErr w:type="spellEnd"/>
      <w:r>
        <w:t xml:space="preserve"> 1991). Dahl’s framework, however, begs asking to what extent regime definitions should include characteristics of the political system that transcend the process of forming a </w:t>
      </w:r>
      <w:r>
        <w:lastRenderedPageBreak/>
        <w:t xml:space="preserve">government. As </w:t>
      </w:r>
      <w:proofErr w:type="spellStart"/>
      <w:r>
        <w:t>Munck</w:t>
      </w:r>
      <w:proofErr w:type="spellEnd"/>
      <w:r>
        <w:t xml:space="preserve"> (2009, 124-5) persuasively argued, empowering the demos to have a periodic say in the making of state policies does not guarantee </w:t>
      </w:r>
      <w:r w:rsidR="00043719">
        <w:t xml:space="preserve">that </w:t>
      </w:r>
      <w:r>
        <w:t xml:space="preserve">these </w:t>
      </w:r>
      <w:r w:rsidR="004F59D3">
        <w:t xml:space="preserve">contests will result in </w:t>
      </w:r>
      <w:r>
        <w:t xml:space="preserve">policies </w:t>
      </w:r>
      <w:r w:rsidR="004F59D3">
        <w:t>that are</w:t>
      </w:r>
      <w:r>
        <w:t xml:space="preserve"> congruent with the wishes of a majority or even a </w:t>
      </w:r>
      <w:r w:rsidR="002C7317">
        <w:t xml:space="preserve">plurality </w:t>
      </w:r>
      <w:r>
        <w:t xml:space="preserve">of the </w:t>
      </w:r>
      <w:r w:rsidR="004F59D3">
        <w:t>population</w:t>
      </w:r>
      <w:r w:rsidR="00043719">
        <w:t>. T</w:t>
      </w:r>
      <w:r>
        <w:t xml:space="preserve">he government should, thorough its actions, remain accountable to the people, particularly in the middle of the electoral cycle when the </w:t>
      </w:r>
      <w:r w:rsidR="00EC00A3">
        <w:t>citizens</w:t>
      </w:r>
      <w:r>
        <w:t xml:space="preserve"> are not able to use the ballot box to pass judgment on their elected representatives</w:t>
      </w:r>
      <w:r w:rsidR="00A6634B">
        <w:t xml:space="preserve"> (Powell 2004)</w:t>
      </w:r>
      <w:r>
        <w:t xml:space="preserve">. </w:t>
      </w:r>
    </w:p>
    <w:p w:rsidR="00AD7107" w:rsidRDefault="00BB62CF" w:rsidP="00A970F9">
      <w:pPr>
        <w:spacing w:line="480" w:lineRule="auto"/>
        <w:ind w:firstLine="720"/>
      </w:pPr>
      <w:r>
        <w:t xml:space="preserve">The </w:t>
      </w:r>
      <w:r w:rsidR="00DC2A8E">
        <w:t xml:space="preserve">second </w:t>
      </w:r>
      <w:r>
        <w:t xml:space="preserve">set of reforms to be evaluated concerns </w:t>
      </w:r>
      <w:r w:rsidR="009736BD">
        <w:t xml:space="preserve">then </w:t>
      </w:r>
      <w:r>
        <w:t xml:space="preserve">not human rights, but changes in political institutions or their operation. Western democratic theory has a strong normative preference for polities where the executive has parity with or is subordinate to a legislature, </w:t>
      </w:r>
      <w:r w:rsidR="002C7317">
        <w:t xml:space="preserve">the </w:t>
      </w:r>
      <w:r w:rsidR="009E6161">
        <w:t>assembled representatives</w:t>
      </w:r>
      <w:r w:rsidR="002C7317">
        <w:t xml:space="preserve"> of the people</w:t>
      </w:r>
      <w:r>
        <w:t>.</w:t>
      </w:r>
      <w:r>
        <w:rPr>
          <w:rStyle w:val="EndnoteReference"/>
        </w:rPr>
        <w:endnoteReference w:id="10"/>
      </w:r>
      <w:r>
        <w:t xml:space="preserve"> The presence of strong presidents that do not seem very accountable to other branches of government</w:t>
      </w:r>
      <w:r w:rsidR="009736BD">
        <w:t xml:space="preserve"> or their electorates</w:t>
      </w:r>
      <w:r>
        <w:t>, particularly in Latin America, has led some to contrast these systems, which O’Donnell (1994) referred to as “</w:t>
      </w:r>
      <w:proofErr w:type="spellStart"/>
      <w:r>
        <w:t>delegative</w:t>
      </w:r>
      <w:proofErr w:type="spellEnd"/>
      <w:r>
        <w:t xml:space="preserve"> democracies</w:t>
      </w:r>
      <w:r w:rsidR="00805859">
        <w:t>,</w:t>
      </w:r>
      <w:r>
        <w:t xml:space="preserve">” with truly </w:t>
      </w:r>
      <w:r w:rsidR="00DE4E30">
        <w:t xml:space="preserve">accountable </w:t>
      </w:r>
      <w:r>
        <w:t>ones.</w:t>
      </w:r>
      <w:r>
        <w:rPr>
          <w:rStyle w:val="EndnoteReference"/>
        </w:rPr>
        <w:endnoteReference w:id="11"/>
      </w:r>
      <w:r>
        <w:t xml:space="preserve"> </w:t>
      </w:r>
      <w:r w:rsidR="003D523F">
        <w:t xml:space="preserve">Along with O’Donnell, </w:t>
      </w:r>
      <w:r>
        <w:t>I see</w:t>
      </w:r>
      <w:r w:rsidR="00DE4E30">
        <w:t xml:space="preserve"> </w:t>
      </w:r>
      <w:proofErr w:type="spellStart"/>
      <w:r w:rsidR="003D523F">
        <w:t>delegative</w:t>
      </w:r>
      <w:proofErr w:type="spellEnd"/>
      <w:r w:rsidR="003D523F">
        <w:t xml:space="preserve"> democracies</w:t>
      </w:r>
      <w:r>
        <w:t xml:space="preserve"> as </w:t>
      </w:r>
      <w:r w:rsidR="003D523F">
        <w:t>lacking horizontal accountability</w:t>
      </w:r>
      <w:r>
        <w:t xml:space="preserve">. Consequently, I ask to what extent checks </w:t>
      </w:r>
      <w:r w:rsidR="00F12411">
        <w:t>on the executive</w:t>
      </w:r>
      <w:r>
        <w:t xml:space="preserve"> are empirically related to Dahl’s regime dimensions and examine the possibility that political protest may push democracies in the direction of more </w:t>
      </w:r>
      <w:r w:rsidR="0041384B">
        <w:t>horizontal</w:t>
      </w:r>
      <w:r>
        <w:t xml:space="preserve"> accountability. </w:t>
      </w:r>
      <w:r w:rsidR="00F12411">
        <w:t>The following section describes the measures of political protest used in the analysis and their expected effects.</w:t>
      </w:r>
    </w:p>
    <w:p w:rsidR="00AD7107" w:rsidRDefault="00BB62CF" w:rsidP="00A970F9">
      <w:pPr>
        <w:spacing w:line="480" w:lineRule="auto"/>
        <w:rPr>
          <w:b/>
        </w:rPr>
      </w:pPr>
      <w:r w:rsidRPr="00EF53AF">
        <w:rPr>
          <w:b/>
        </w:rPr>
        <w:t xml:space="preserve">Predictors of </w:t>
      </w:r>
      <w:r w:rsidR="00E26E62">
        <w:rPr>
          <w:b/>
        </w:rPr>
        <w:t>D</w:t>
      </w:r>
      <w:r w:rsidRPr="00EF53AF">
        <w:rPr>
          <w:b/>
        </w:rPr>
        <w:t xml:space="preserve">emocratic </w:t>
      </w:r>
      <w:r w:rsidR="00E26E62">
        <w:rPr>
          <w:b/>
        </w:rPr>
        <w:t>R</w:t>
      </w:r>
      <w:r w:rsidRPr="00EF53AF">
        <w:rPr>
          <w:b/>
        </w:rPr>
        <w:t>eform</w:t>
      </w:r>
    </w:p>
    <w:p w:rsidR="00603C91" w:rsidRDefault="00BB62CF" w:rsidP="00BB62CF">
      <w:pPr>
        <w:spacing w:line="480" w:lineRule="auto"/>
      </w:pPr>
      <w:r>
        <w:tab/>
      </w:r>
      <w:r w:rsidR="00603C91">
        <w:t xml:space="preserve">Two </w:t>
      </w:r>
      <w:r w:rsidR="00AF7A3C">
        <w:t>factors</w:t>
      </w:r>
      <w:r w:rsidR="00603C91">
        <w:t xml:space="preserve"> are likely to matter in studying the effects of protest activity on institutional reforms. </w:t>
      </w:r>
      <w:r w:rsidR="00B93CD9">
        <w:t xml:space="preserve">Both have received extensive treatment since their </w:t>
      </w:r>
      <w:r w:rsidR="00AF7A3C">
        <w:t>effects</w:t>
      </w:r>
      <w:r w:rsidR="00EC00A3">
        <w:t xml:space="preserve"> seem</w:t>
      </w:r>
      <w:r w:rsidR="00B93CD9">
        <w:t xml:space="preserve"> </w:t>
      </w:r>
      <w:r w:rsidR="00EC00A3">
        <w:t>to depend on</w:t>
      </w:r>
      <w:r w:rsidR="00603C91">
        <w:t xml:space="preserve"> </w:t>
      </w:r>
      <w:r w:rsidR="00EC00A3">
        <w:t xml:space="preserve">the societal </w:t>
      </w:r>
      <w:r w:rsidR="00603C91">
        <w:t>context</w:t>
      </w:r>
      <w:r w:rsidR="00B93CD9">
        <w:t>. The first</w:t>
      </w:r>
      <w:r w:rsidR="00603C91">
        <w:t xml:space="preserve"> concerns social</w:t>
      </w:r>
      <w:r w:rsidR="00B93CD9">
        <w:t xml:space="preserve"> movement tactics and the likelihood</w:t>
      </w:r>
      <w:r w:rsidR="00603C91">
        <w:t xml:space="preserve"> </w:t>
      </w:r>
      <w:r w:rsidR="00E54985">
        <w:t>of success, that is, which types of activities</w:t>
      </w:r>
      <w:r w:rsidR="00603C91">
        <w:t xml:space="preserve"> </w:t>
      </w:r>
      <w:r w:rsidR="00EC00A3">
        <w:t>lead to success from the movement’s standpoint</w:t>
      </w:r>
      <w:r w:rsidR="00603C91">
        <w:t xml:space="preserve"> and why. Specifically, I </w:t>
      </w:r>
      <w:r w:rsidR="00EC00A3">
        <w:lastRenderedPageBreak/>
        <w:t>compare peaceful rallies or</w:t>
      </w:r>
      <w:r w:rsidR="00603C91">
        <w:t xml:space="preserve"> demonstrations</w:t>
      </w:r>
      <w:r w:rsidR="00EC00A3">
        <w:t xml:space="preserve"> and strikes</w:t>
      </w:r>
      <w:r w:rsidR="00B93CD9">
        <w:t xml:space="preserve"> on the one hand</w:t>
      </w:r>
      <w:r w:rsidR="00603C91">
        <w:t xml:space="preserve">, and violent riots </w:t>
      </w:r>
      <w:r w:rsidR="00B93CD9">
        <w:t>on the other</w:t>
      </w:r>
      <w:r w:rsidR="00603C91">
        <w:t xml:space="preserve">. The second concerns the presence of </w:t>
      </w:r>
      <w:r w:rsidR="005A30EA">
        <w:t>allies</w:t>
      </w:r>
      <w:r w:rsidR="00B93CD9">
        <w:t xml:space="preserve"> in the political and other arenas that could</w:t>
      </w:r>
      <w:r w:rsidR="00603C91">
        <w:t xml:space="preserve"> mediate the </w:t>
      </w:r>
      <w:r w:rsidR="00B93CD9">
        <w:t>activities</w:t>
      </w:r>
      <w:r w:rsidR="00603C91">
        <w:t xml:space="preserve"> of social movement organizations. </w:t>
      </w:r>
    </w:p>
    <w:p w:rsidR="00326487" w:rsidRDefault="00326487" w:rsidP="00326487">
      <w:pPr>
        <w:spacing w:line="480" w:lineRule="auto"/>
        <w:ind w:firstLine="720"/>
      </w:pPr>
      <w:r>
        <w:t>Previous research has drawn a clear distinction between political challenges that aim to overthrow the ruling regime and those that attempt “to affect policy and leadership, usually through nonviolent means”</w:t>
      </w:r>
      <w:r w:rsidRPr="008A7FF8">
        <w:t xml:space="preserve"> </w:t>
      </w:r>
      <w:r>
        <w:t>(</w:t>
      </w:r>
      <w:proofErr w:type="spellStart"/>
      <w:r>
        <w:t>Schatzman</w:t>
      </w:r>
      <w:proofErr w:type="spellEnd"/>
      <w:r>
        <w:t xml:space="preserve"> 2005, 298). The two types of challenges are usually referred to as “rebellion” and “protest,” with anti-government demonstrations, general strikes, and riots constituting the protest dimension.</w:t>
      </w:r>
      <w:r>
        <w:rPr>
          <w:rStyle w:val="EndnoteReference"/>
        </w:rPr>
        <w:endnoteReference w:id="12"/>
      </w:r>
      <w:r>
        <w:t xml:space="preserve"> Some classic studies viewed violence as a symptom of success, not a cause of it. That is, </w:t>
      </w:r>
      <w:r w:rsidRPr="0044338D">
        <w:t xml:space="preserve">movements </w:t>
      </w:r>
      <w:r>
        <w:t xml:space="preserve">were more likely to use violence once they </w:t>
      </w:r>
      <w:r w:rsidRPr="0044338D">
        <w:t xml:space="preserve">had achieved some </w:t>
      </w:r>
      <w:r>
        <w:t>notoriety (</w:t>
      </w:r>
      <w:proofErr w:type="spellStart"/>
      <w:r>
        <w:t>Gamson</w:t>
      </w:r>
      <w:proofErr w:type="spellEnd"/>
      <w:r>
        <w:t xml:space="preserve"> 1990). But scholars have not spent as much time comparing the outcomes of violent versus nonviolent protest. The question of movement tactics, however, is likely to affect whether publics and elites come to support and/or identify with the goals and tactics of social movement actors. </w:t>
      </w:r>
    </w:p>
    <w:p w:rsidR="00BB62CF" w:rsidRDefault="005A30EA" w:rsidP="00603C91">
      <w:pPr>
        <w:spacing w:line="480" w:lineRule="auto"/>
        <w:ind w:firstLine="720"/>
      </w:pPr>
      <w:r>
        <w:t xml:space="preserve">To distinguish between </w:t>
      </w:r>
      <w:r w:rsidR="00E54985">
        <w:t xml:space="preserve">different social movement </w:t>
      </w:r>
      <w:r w:rsidR="009B05DF">
        <w:t>tactics</w:t>
      </w:r>
      <w:r>
        <w:t xml:space="preserve">, </w:t>
      </w:r>
      <w:r w:rsidR="00B93CD9">
        <w:t>I rely</w:t>
      </w:r>
      <w:r w:rsidR="00BB62CF">
        <w:t xml:space="preserve"> on yearly counts of three indicators of mass political protest</w:t>
      </w:r>
      <w:r w:rsidR="008A7FF8">
        <w:t>—anti-g</w:t>
      </w:r>
      <w:r w:rsidR="00BB62CF">
        <w:t>overnment demonstrations, general strikes, and riots</w:t>
      </w:r>
      <w:r w:rsidR="008A7FF8">
        <w:t xml:space="preserve">—all </w:t>
      </w:r>
      <w:r w:rsidR="00BB62CF">
        <w:t xml:space="preserve">derived from Banks (2007) Cross-National Time-Series Data Archive (CNTSDA). </w:t>
      </w:r>
      <w:r>
        <w:t>Not only is the CNTSDA one of the most widely used sources of political data;</w:t>
      </w:r>
      <w:r w:rsidRPr="00CF1A41">
        <w:rPr>
          <w:rStyle w:val="EndnoteReference"/>
        </w:rPr>
        <w:t xml:space="preserve"> </w:t>
      </w:r>
      <w:r>
        <w:rPr>
          <w:rStyle w:val="EndnoteReference"/>
        </w:rPr>
        <w:endnoteReference w:id="13"/>
      </w:r>
      <w:r>
        <w:t xml:space="preserve"> these three indicators are also common in studies of social protest, regime change, and political conflict (e.g., </w:t>
      </w:r>
      <w:proofErr w:type="spellStart"/>
      <w:r>
        <w:t>Schatzman</w:t>
      </w:r>
      <w:proofErr w:type="spellEnd"/>
      <w:r>
        <w:t xml:space="preserve"> 2005). </w:t>
      </w:r>
      <w:r w:rsidR="00BB62CF">
        <w:t>Anti-government demonstrations are peaceful rallies of at least 100 participants; general strikes are coordinated campaigns of disruption involving at least 1,000 workers and more than one employer; and riots are violent demonstrations by more than 100 citizens.</w:t>
      </w:r>
      <w:r w:rsidR="00BB62CF">
        <w:rPr>
          <w:rStyle w:val="EndnoteReference"/>
        </w:rPr>
        <w:endnoteReference w:id="14"/>
      </w:r>
      <w:r w:rsidR="00BB62CF">
        <w:t xml:space="preserve"> </w:t>
      </w:r>
    </w:p>
    <w:p w:rsidR="00FF23D1" w:rsidRDefault="00FF23D1" w:rsidP="00603C91">
      <w:pPr>
        <w:spacing w:line="480" w:lineRule="auto"/>
        <w:ind w:firstLine="720"/>
      </w:pPr>
      <w:r>
        <w:lastRenderedPageBreak/>
        <w:t>In a world where “the effects of social movements are often indirect, unintended, and sometimes even in contradiction to their goals” (</w:t>
      </w:r>
      <w:proofErr w:type="spellStart"/>
      <w:r>
        <w:t>Giugni</w:t>
      </w:r>
      <w:proofErr w:type="spellEnd"/>
      <w:r>
        <w:t xml:space="preserve"> 1998, 386), the indicators of protest used here are proximate enough to the outcomes we want to assess—democratic reforms – to enable us to draw valid causal inferences. At the same time, and where possible, I exclude rallies whose primary targets are third parties. Demonstrations and general strikes, for example, refer to actions that target the national/central government explicitly. Riots may or may not target the national government, and workers and their unions typically target employers, with significant political implications. Consequently, I use a measure of strikes and lockouts (as opposed to general strikes) in the model for workers’ rights.</w:t>
      </w:r>
      <w:r>
        <w:rPr>
          <w:rStyle w:val="EndnoteReference"/>
        </w:rPr>
        <w:endnoteReference w:id="15"/>
      </w:r>
      <w:r>
        <w:t>Conveniently, these protest indicators are not too proximate to the outcomes in question to render the analysis tautological. The measures, that is, do not reduce dissidents’ goals to their participation in one of these events, as in the case of other contentious events coded by Banks, such as guerrilla warfare and revolutions.</w:t>
      </w:r>
    </w:p>
    <w:p w:rsidR="00FF23D1" w:rsidRDefault="00FF23D1" w:rsidP="00FF23D1">
      <w:pPr>
        <w:spacing w:line="480" w:lineRule="auto"/>
        <w:ind w:firstLine="720"/>
      </w:pPr>
      <w:r>
        <w:t>Finally, the fact that these events are high profile, and that consistency in coding has been maintained across time and space, means that bias resulting from underreporting of events not deemed newsworthy by the media is not likely to be very large.</w:t>
      </w:r>
      <w:r w:rsidR="009B05DF">
        <w:rPr>
          <w:rStyle w:val="EndnoteReference"/>
        </w:rPr>
        <w:endnoteReference w:id="16"/>
      </w:r>
      <w:r>
        <w:t xml:space="preserve"> Since all the countries analyzed are democracies, the reported event counts should also be fairly accurate. Nevertheless, this does not mean media reports are completely free of bias and as such I take certain precautions (which I detail in the empirical section) to ensure that the results are robust to these potential problems.    </w:t>
      </w:r>
    </w:p>
    <w:p w:rsidR="009518DC" w:rsidRDefault="00AF7A3C" w:rsidP="00ED1A12">
      <w:pPr>
        <w:spacing w:line="480" w:lineRule="auto"/>
        <w:ind w:firstLine="720"/>
      </w:pPr>
      <w:r>
        <w:t xml:space="preserve">The literature is clearer with respect to the role political and other elites play </w:t>
      </w:r>
      <w:r w:rsidR="00CB52FD">
        <w:t xml:space="preserve">in </w:t>
      </w:r>
      <w:r w:rsidR="000950E6">
        <w:t>channeling</w:t>
      </w:r>
      <w:r w:rsidR="001F73E1">
        <w:t xml:space="preserve"> direct action </w:t>
      </w:r>
      <w:r w:rsidR="000950E6">
        <w:t>in the direction of</w:t>
      </w:r>
      <w:r w:rsidR="001F73E1">
        <w:t xml:space="preserve"> the political system, economy, or society </w:t>
      </w:r>
      <w:r w:rsidR="00CB52FD">
        <w:t>(</w:t>
      </w:r>
      <w:proofErr w:type="spellStart"/>
      <w:r w:rsidR="00CB52FD">
        <w:t>Giugni</w:t>
      </w:r>
      <w:proofErr w:type="spellEnd"/>
      <w:r w:rsidR="00CB52FD">
        <w:t xml:space="preserve"> 1998, xxi</w:t>
      </w:r>
      <w:r w:rsidR="001F73E1">
        <w:t>; Koopmans 1999, 105</w:t>
      </w:r>
      <w:r w:rsidR="00CB52FD">
        <w:t>)</w:t>
      </w:r>
      <w:r>
        <w:t xml:space="preserve">. </w:t>
      </w:r>
      <w:r w:rsidR="0087487F">
        <w:t xml:space="preserve">Social movements tend to benefit from the presence of these allies. </w:t>
      </w:r>
      <w:r w:rsidR="00CB52FD">
        <w:t xml:space="preserve">These </w:t>
      </w:r>
      <w:r w:rsidR="00FE34C9">
        <w:t>actors</w:t>
      </w:r>
      <w:r w:rsidR="00ED1A12">
        <w:t xml:space="preserve"> can be seen as part of the political opportunity structure, the</w:t>
      </w:r>
      <w:r>
        <w:t xml:space="preserve"> “consistent-but not necessarily formal or permanent dimensions of the political environment that provide </w:t>
      </w:r>
      <w:r>
        <w:lastRenderedPageBreak/>
        <w:t>incentives for people to undertake collective action by affecting their expectations for success or failure” (</w:t>
      </w:r>
      <w:proofErr w:type="spellStart"/>
      <w:r>
        <w:t>Tarrow</w:t>
      </w:r>
      <w:proofErr w:type="spellEnd"/>
      <w:r>
        <w:t xml:space="preserve">, 1994, 85). </w:t>
      </w:r>
    </w:p>
    <w:p w:rsidR="00AF7A3C" w:rsidRDefault="009518DC" w:rsidP="00ED1A12">
      <w:pPr>
        <w:spacing w:line="480" w:lineRule="auto"/>
        <w:ind w:firstLine="720"/>
      </w:pPr>
      <w:r>
        <w:t xml:space="preserve">While scholars agree that political opportunities matter, they disagree on how </w:t>
      </w:r>
      <w:r w:rsidR="003F4BA5">
        <w:t>precisely they do</w:t>
      </w:r>
      <w:r>
        <w:t xml:space="preserve">. The answer depends, inter alia, on whether </w:t>
      </w:r>
      <w:r w:rsidR="003F4BA5">
        <w:t>one</w:t>
      </w:r>
      <w:r>
        <w:t xml:space="preserve"> is interested in </w:t>
      </w:r>
      <w:r w:rsidR="000577D6">
        <w:t>how a movement fares</w:t>
      </w:r>
      <w:r w:rsidR="005A4CC1">
        <w:t xml:space="preserve"> over </w:t>
      </w:r>
      <w:proofErr w:type="gramStart"/>
      <w:r w:rsidR="00B91544">
        <w:t>time</w:t>
      </w:r>
      <w:r>
        <w:t>,</w:t>
      </w:r>
      <w:proofErr w:type="gramEnd"/>
      <w:r>
        <w:t xml:space="preserve"> or how different social movements </w:t>
      </w:r>
      <w:r w:rsidR="005A4CC1">
        <w:t xml:space="preserve">fare </w:t>
      </w:r>
      <w:r w:rsidR="000577D6">
        <w:t>at a given point in time</w:t>
      </w:r>
      <w:r>
        <w:t xml:space="preserve">. </w:t>
      </w:r>
      <w:r w:rsidR="005842E6">
        <w:t xml:space="preserve">The end result, however, is that </w:t>
      </w:r>
      <w:r w:rsidR="005A4CC1">
        <w:t>“opportunity variables are often not disproved, refined, or replaced, but simply added”</w:t>
      </w:r>
      <w:r w:rsidR="005842E6">
        <w:t xml:space="preserve"> (Meyer 2004: 135)</w:t>
      </w:r>
      <w:r w:rsidR="005A4CC1">
        <w:t xml:space="preserve">. My intention is not to </w:t>
      </w:r>
      <w:r w:rsidR="00E36621">
        <w:t>add</w:t>
      </w:r>
      <w:r w:rsidR="005A4CC1">
        <w:t xml:space="preserve"> </w:t>
      </w:r>
      <w:r w:rsidR="006A2454">
        <w:t>yet more complexity</w:t>
      </w:r>
      <w:r w:rsidR="00AC6416">
        <w:t xml:space="preserve"> to this discussion</w:t>
      </w:r>
      <w:r w:rsidR="005A4CC1">
        <w:t xml:space="preserve">, but simply to find indicators of variation in the political </w:t>
      </w:r>
      <w:proofErr w:type="gramStart"/>
      <w:r w:rsidR="005A4CC1">
        <w:t>opportunity that are</w:t>
      </w:r>
      <w:proofErr w:type="gramEnd"/>
      <w:r w:rsidR="005A4CC1">
        <w:t xml:space="preserve"> likely to be valid within countries and reliable </w:t>
      </w:r>
      <w:r w:rsidR="00B91544">
        <w:t>across</w:t>
      </w:r>
      <w:r w:rsidR="005A4CC1">
        <w:t xml:space="preserve"> them.</w:t>
      </w:r>
      <w:r w:rsidR="00B91544">
        <w:t xml:space="preserve"> </w:t>
      </w:r>
      <w:r w:rsidR="00AF7A3C">
        <w:t xml:space="preserve">The article evaluates two variables that </w:t>
      </w:r>
      <w:r w:rsidR="00E36621">
        <w:t>can be validly and reliabl</w:t>
      </w:r>
      <w:r w:rsidR="00957639">
        <w:t>y</w:t>
      </w:r>
      <w:r w:rsidR="00E36621">
        <w:t xml:space="preserve"> coded for different countries</w:t>
      </w:r>
      <w:r w:rsidR="00AF7A3C">
        <w:t>: the partisan alignment across and within different branches of government, and judicial independence.</w:t>
      </w:r>
      <w:r w:rsidR="0087487F">
        <w:rPr>
          <w:rStyle w:val="EndnoteReference"/>
        </w:rPr>
        <w:endnoteReference w:id="17"/>
      </w:r>
      <w:r w:rsidR="00AF7A3C">
        <w:t xml:space="preserve"> A few paragraphs are in order about the choice of these variables. </w:t>
      </w:r>
    </w:p>
    <w:p w:rsidR="00AF7A3C" w:rsidRDefault="00E36621" w:rsidP="00AF7A3C">
      <w:pPr>
        <w:spacing w:line="480" w:lineRule="auto"/>
        <w:ind w:firstLine="720"/>
      </w:pPr>
      <w:r>
        <w:t>Social movement</w:t>
      </w:r>
      <w:r w:rsidR="00AF7A3C">
        <w:t xml:space="preserve"> success may depend critically on how cohesive ideologically and institutionally the government is (Johnston 2011, 39-40). T</w:t>
      </w:r>
      <w:r w:rsidR="00AF7A3C">
        <w:rPr>
          <w:lang w:eastAsia="ko-KR"/>
        </w:rPr>
        <w:t xml:space="preserve">he measure of cohesion I use, the Political Constraints (POLCON) index, is based on a spatial model of congruence in party control within and across branches of government </w:t>
      </w:r>
      <w:r w:rsidR="00AF7A3C">
        <w:t>(</w:t>
      </w:r>
      <w:proofErr w:type="spellStart"/>
      <w:r w:rsidR="00AF7A3C">
        <w:t>Henisz</w:t>
      </w:r>
      <w:proofErr w:type="spellEnd"/>
      <w:r w:rsidR="00AF7A3C">
        <w:t xml:space="preserve"> and </w:t>
      </w:r>
      <w:proofErr w:type="spellStart"/>
      <w:r w:rsidR="00AF7A3C">
        <w:t>Zelner</w:t>
      </w:r>
      <w:proofErr w:type="spellEnd"/>
      <w:r w:rsidR="00AF7A3C">
        <w:t xml:space="preserve"> 2010). The index, which ranges from 0 to 1 (0 being the most cohesive, 1 the least), can be used to indicate how far particular branches of government deviate from an existing policy regime.</w:t>
      </w:r>
      <w:r w:rsidR="00AF7A3C">
        <w:rPr>
          <w:rStyle w:val="EndnoteReference"/>
        </w:rPr>
        <w:endnoteReference w:id="18"/>
      </w:r>
      <w:r w:rsidR="00AF7A3C">
        <w:t xml:space="preserve"> Since higher values indicate less alignment, I label this alignment within and across different branches of government </w:t>
      </w:r>
      <w:r w:rsidR="00AF7A3C">
        <w:rPr>
          <w:i/>
        </w:rPr>
        <w:t>partisan</w:t>
      </w:r>
      <w:r w:rsidR="00AF7A3C" w:rsidRPr="00212811">
        <w:rPr>
          <w:i/>
        </w:rPr>
        <w:t xml:space="preserve"> </w:t>
      </w:r>
      <w:r w:rsidR="00AF7A3C">
        <w:rPr>
          <w:i/>
        </w:rPr>
        <w:t>nonalignment</w:t>
      </w:r>
      <w:r w:rsidR="00AF7A3C">
        <w:t>.</w:t>
      </w:r>
    </w:p>
    <w:p w:rsidR="00AF7A3C" w:rsidRDefault="00AF7A3C" w:rsidP="00AF7A3C">
      <w:pPr>
        <w:spacing w:line="480" w:lineRule="auto"/>
        <w:ind w:firstLine="720"/>
      </w:pPr>
      <w:r>
        <w:t xml:space="preserve">The second political opportunity structure I examine is the presence of an </w:t>
      </w:r>
      <w:r w:rsidRPr="00212811">
        <w:rPr>
          <w:i/>
        </w:rPr>
        <w:t>independent judiciary</w:t>
      </w:r>
      <w:r>
        <w:t>, which some see as central to the idea of equal protection before the law (</w:t>
      </w:r>
      <w:r w:rsidRPr="00420E13">
        <w:t>Carothers, 2006</w:t>
      </w:r>
      <w:r>
        <w:t xml:space="preserve">). Judicial independence is the institutionalized isolation or protection of the judiciary from </w:t>
      </w:r>
      <w:r>
        <w:lastRenderedPageBreak/>
        <w:t xml:space="preserve">outside influences, giving judges the capacity to think and act independently (Russell 2001). When the judiciary has the right to rule on the constitutionality of legislative acts and executive </w:t>
      </w:r>
    </w:p>
    <w:p w:rsidR="00AF7A3C" w:rsidRDefault="00AF7A3C" w:rsidP="00AF7A3C">
      <w:pPr>
        <w:spacing w:line="480" w:lineRule="auto"/>
      </w:pPr>
      <w:proofErr w:type="gramStart"/>
      <w:r>
        <w:t>decrees</w:t>
      </w:r>
      <w:proofErr w:type="gramEnd"/>
      <w:r>
        <w:t xml:space="preserve">, judges at the highest level enjoy lengthy tenures, the executive cannot directly appoint or remove judges, and actions of the executive and legislative branch can be challenged in the courts, the judiciary is generally regarded as independent. Yet as </w:t>
      </w:r>
      <w:proofErr w:type="spellStart"/>
      <w:r>
        <w:t>Helmke</w:t>
      </w:r>
      <w:proofErr w:type="spellEnd"/>
      <w:r>
        <w:t xml:space="preserve"> and </w:t>
      </w:r>
      <w:proofErr w:type="spellStart"/>
      <w:r>
        <w:t>Rosenbluth</w:t>
      </w:r>
      <w:proofErr w:type="spellEnd"/>
      <w:r>
        <w:t xml:space="preserve"> (2009) have argued, it is precisely in those countries where the rule of law and an independent judiciary seem to be most needed where they are harder to find. For data on this institution, I rely on </w:t>
      </w:r>
      <w:proofErr w:type="spellStart"/>
      <w:r>
        <w:t>Cingranelli</w:t>
      </w:r>
      <w:proofErr w:type="spellEnd"/>
      <w:r>
        <w:t xml:space="preserve"> and Richards (2010), who provide a measure of judicial independence that seems to be inspired by </w:t>
      </w:r>
      <w:r>
        <w:rPr>
          <w:i/>
        </w:rPr>
        <w:t>de jure</w:t>
      </w:r>
      <w:r>
        <w:t xml:space="preserve"> considerations of what a fully independent judiciary would look like while distinguishing between </w:t>
      </w:r>
      <w:r w:rsidRPr="00B1253F">
        <w:rPr>
          <w:i/>
        </w:rPr>
        <w:t>de facto</w:t>
      </w:r>
      <w:r>
        <w:t xml:space="preserve"> partial and no judicial independence (</w:t>
      </w:r>
      <w:r w:rsidRPr="003B287C">
        <w:t>Ríos-Figueroa</w:t>
      </w:r>
      <w:r>
        <w:t xml:space="preserve"> and </w:t>
      </w:r>
      <w:proofErr w:type="spellStart"/>
      <w:r>
        <w:t>Staton</w:t>
      </w:r>
      <w:proofErr w:type="spellEnd"/>
      <w:r>
        <w:t xml:space="preserve"> 2011, 10).  </w:t>
      </w:r>
    </w:p>
    <w:p w:rsidR="00AE13A8" w:rsidRDefault="00AF7A3C" w:rsidP="00FF23D1">
      <w:pPr>
        <w:spacing w:line="480" w:lineRule="auto"/>
        <w:ind w:firstLine="720"/>
      </w:pPr>
      <w:r>
        <w:t>Although an independent judiciary seems to be part of the definition of a constrained executive (Marshall et al. 2011, 24), the pairwise correlation between these two variables for the sample of countries I analyze is actually not large (</w:t>
      </w:r>
      <w:r>
        <w:rPr>
          <w:i/>
        </w:rPr>
        <w:t>r</w:t>
      </w:r>
      <w:r>
        <w:t xml:space="preserve">=0.45; </w:t>
      </w:r>
      <w:r w:rsidRPr="00E520D1">
        <w:rPr>
          <w:i/>
        </w:rPr>
        <w:t>p</w:t>
      </w:r>
      <w:r>
        <w:t xml:space="preserve">&lt;0.000). As </w:t>
      </w:r>
      <w:proofErr w:type="spellStart"/>
      <w:r>
        <w:t>Helmke</w:t>
      </w:r>
      <w:proofErr w:type="spellEnd"/>
      <w:r>
        <w:t xml:space="preserve"> and </w:t>
      </w:r>
      <w:proofErr w:type="spellStart"/>
      <w:r>
        <w:t>Rosenbluth</w:t>
      </w:r>
      <w:proofErr w:type="spellEnd"/>
      <w:r>
        <w:t xml:space="preserve"> (2009, 358) make clear, many poor and newer democracies are characterized by a great deal of judicial instability even after consolidating their democratic regimes along other dimensions. The notion of judicial independence also appears to be logically connected to the fragmentation of power expected of highly competitive political systems and its attendant manifestation—partisan nonalignment. While the correlation between </w:t>
      </w:r>
      <w:r w:rsidRPr="00E152CF">
        <w:rPr>
          <w:i/>
        </w:rPr>
        <w:t>judicial independence</w:t>
      </w:r>
      <w:r>
        <w:t xml:space="preserve"> and the </w:t>
      </w:r>
      <w:r>
        <w:rPr>
          <w:i/>
        </w:rPr>
        <w:t>partisan nonalignment</w:t>
      </w:r>
      <w:r>
        <w:t xml:space="preserve"> indicator in the sample analyzed is statistically significant, it is not very high (</w:t>
      </w:r>
      <w:r>
        <w:rPr>
          <w:i/>
        </w:rPr>
        <w:t>r</w:t>
      </w:r>
      <w:r>
        <w:t>=0.25; p&lt;0.000). Consequently, I make use of both as mediators of the effect of political protest on institutional reforms.</w:t>
      </w:r>
    </w:p>
    <w:p w:rsidR="00BB62CF" w:rsidRPr="00831FE1" w:rsidRDefault="00A71983" w:rsidP="00BB62CF">
      <w:pPr>
        <w:spacing w:line="480" w:lineRule="auto"/>
        <w:rPr>
          <w:b/>
        </w:rPr>
      </w:pPr>
      <w:r>
        <w:rPr>
          <w:b/>
        </w:rPr>
        <w:t>A Descriptive Analysis of Political Regimes</w:t>
      </w:r>
    </w:p>
    <w:p w:rsidR="00BB62CF" w:rsidRDefault="005E77AE" w:rsidP="00BB62CF">
      <w:pPr>
        <w:spacing w:line="480" w:lineRule="auto"/>
        <w:ind w:firstLine="720"/>
      </w:pPr>
      <w:r>
        <w:lastRenderedPageBreak/>
        <w:t xml:space="preserve">I look at the determinants of institutional reforms in 78 democracies from 1994 to 2007. </w:t>
      </w:r>
      <w:r w:rsidR="00351193">
        <w:t xml:space="preserve"> D</w:t>
      </w:r>
      <w:r w:rsidR="00B4562C">
        <w:t>ata availability does not allow me to include recent episodes of mass protest in Europe, North Africa</w:t>
      </w:r>
      <w:r w:rsidR="00351193">
        <w:t>,</w:t>
      </w:r>
      <w:r w:rsidR="00B4562C">
        <w:t xml:space="preserve"> and the Middle East</w:t>
      </w:r>
      <w:r w:rsidR="00351193">
        <w:t xml:space="preserve">. Nevertheless, </w:t>
      </w:r>
      <w:r>
        <w:t xml:space="preserve">1994 can be considered a suitable starting point </w:t>
      </w:r>
      <w:r w:rsidR="00A01EEC">
        <w:t xml:space="preserve">for </w:t>
      </w:r>
      <w:r w:rsidR="00B4562C">
        <w:t xml:space="preserve">the analysis since it marks the beginning </w:t>
      </w:r>
      <w:r w:rsidR="00351193">
        <w:t xml:space="preserve">of </w:t>
      </w:r>
      <w:r w:rsidR="00A01EEC">
        <w:t>a post-Cold</w:t>
      </w:r>
      <w:r>
        <w:t xml:space="preserve"> War world in which numerous countries that had transited to democracy in the previous two decades had begun to consolidate their democratic gains. </w:t>
      </w:r>
      <w:r w:rsidR="00BB62CF">
        <w:t xml:space="preserve">The approach I follow is to first derive a series of indicators of political regimes that can be used as a baseline in the subsequent analysis of </w:t>
      </w:r>
      <w:r w:rsidR="00A01EEC">
        <w:t>institutional reforms</w:t>
      </w:r>
      <w:r w:rsidR="00BB62CF">
        <w:t xml:space="preserve">. Following Dahl (1971), I conceive of regimes as exhibiting a certain number of dimensions that are empirically verifiable and that make some countries minimally democratic.  </w:t>
      </w:r>
      <w:r w:rsidR="000F45AE">
        <w:t xml:space="preserve">Individual </w:t>
      </w:r>
      <w:r w:rsidR="00BB62CF">
        <w:t xml:space="preserve">components of these dimensions can be identified as </w:t>
      </w:r>
      <w:r w:rsidR="00A01EEC">
        <w:t xml:space="preserve">institutional </w:t>
      </w:r>
      <w:r w:rsidR="000F45AE">
        <w:t xml:space="preserve">variables </w:t>
      </w:r>
      <w:r w:rsidR="00BB62CF">
        <w:t xml:space="preserve">and </w:t>
      </w:r>
      <w:proofErr w:type="gramStart"/>
      <w:r w:rsidR="000F45AE">
        <w:t>variation</w:t>
      </w:r>
      <w:r w:rsidR="00094156">
        <w:t xml:space="preserve">  in</w:t>
      </w:r>
      <w:proofErr w:type="gramEnd"/>
      <w:r w:rsidR="00094156">
        <w:t xml:space="preserve"> these variables</w:t>
      </w:r>
      <w:r w:rsidR="00F13FC4">
        <w:t xml:space="preserve"> </w:t>
      </w:r>
      <w:r w:rsidR="0064382C">
        <w:t xml:space="preserve">modeled </w:t>
      </w:r>
      <w:r w:rsidR="00F13FC4">
        <w:t xml:space="preserve">as </w:t>
      </w:r>
      <w:r w:rsidR="00A01EEC">
        <w:t>institutional reforms</w:t>
      </w:r>
      <w:r w:rsidR="00BB62CF">
        <w:t xml:space="preserve">. </w:t>
      </w:r>
      <w:r w:rsidR="00197F74">
        <w:t>M</w:t>
      </w:r>
      <w:r w:rsidR="00BB62CF">
        <w:t xml:space="preserve">y approach is heavily inductive as I seek to build on the theoretical and empirical work of scholars that have thought about how best to conceptualize and measure political regimes. </w:t>
      </w:r>
    </w:p>
    <w:p w:rsidR="004E4ADD" w:rsidRDefault="005D4B0C" w:rsidP="00C97591">
      <w:pPr>
        <w:spacing w:line="480" w:lineRule="auto"/>
        <w:ind w:firstLine="720"/>
      </w:pPr>
      <w:r>
        <w:t xml:space="preserve">Dahl claimed that the eight institutional guarantees he enumerated made </w:t>
      </w:r>
      <w:r w:rsidR="00C97591">
        <w:t xml:space="preserve">it </w:t>
      </w:r>
      <w:r>
        <w:t xml:space="preserve">possible </w:t>
      </w:r>
      <w:r w:rsidR="00C97591">
        <w:t xml:space="preserve">to distinguish between two regime dimensions </w:t>
      </w:r>
      <w:r>
        <w:t>—contestation and inclusiveness</w:t>
      </w:r>
      <w:r w:rsidR="00C97591">
        <w:t>.</w:t>
      </w:r>
      <w:r>
        <w:t xml:space="preserve"> Contestation refers to the existence of parties and politicians from which citizens can choose the one(s) most closely aligned with their preferences. Inclusiveness refers to the ability of as many citizens as possible to participate in the selection of their leaders and policies. </w:t>
      </w:r>
      <w:r w:rsidR="00BB62CF">
        <w:t xml:space="preserve">In a widely cited study, </w:t>
      </w:r>
      <w:proofErr w:type="spellStart"/>
      <w:r w:rsidR="00BB62CF">
        <w:t>Coppedge</w:t>
      </w:r>
      <w:proofErr w:type="spellEnd"/>
      <w:r w:rsidR="00BB62CF">
        <w:t xml:space="preserve"> et al. (2008) confirmed the existence of Dahl’s (1971) two regime </w:t>
      </w:r>
      <w:r w:rsidR="004B4FF4">
        <w:t>dimensions for</w:t>
      </w:r>
      <w:r w:rsidR="007A4202">
        <w:t xml:space="preserve"> </w:t>
      </w:r>
      <w:r w:rsidR="00BB62CF">
        <w:t>the post</w:t>
      </w:r>
      <w:r w:rsidR="007A4202">
        <w:t>-</w:t>
      </w:r>
      <w:r w:rsidR="00BB62CF">
        <w:t xml:space="preserve">World War II period. Using exploratory factor analysis, the authors examined the most commonly used indicators of political regimes and found that for most years, they indeed clustered in two clearly distinct yet correlated empirical </w:t>
      </w:r>
      <w:r w:rsidR="007A4202">
        <w:t>dimensions, which</w:t>
      </w:r>
      <w:r w:rsidR="00BB62CF">
        <w:t xml:space="preserve"> they identified as “contestation” and </w:t>
      </w:r>
      <w:r w:rsidR="00BB62CF">
        <w:lastRenderedPageBreak/>
        <w:t>“inclusiveness</w:t>
      </w:r>
      <w:r w:rsidR="007A4202">
        <w:t>.</w:t>
      </w:r>
      <w:r w:rsidR="00BB62CF">
        <w:t xml:space="preserve">” </w:t>
      </w:r>
      <w:r w:rsidR="00F117DC">
        <w:t>Their analysis</w:t>
      </w:r>
      <w:r w:rsidR="004E4ADD">
        <w:t xml:space="preserve">, however, did not include measures of social and economic rights. </w:t>
      </w:r>
    </w:p>
    <w:p w:rsidR="00BB62CF" w:rsidRDefault="00BB62CF" w:rsidP="00C97591">
      <w:pPr>
        <w:spacing w:line="480" w:lineRule="auto"/>
        <w:ind w:firstLine="720"/>
      </w:pPr>
      <w:r>
        <w:t xml:space="preserve">The most recent time period </w:t>
      </w:r>
      <w:proofErr w:type="spellStart"/>
      <w:r w:rsidR="004B4FF4">
        <w:t>Coppedge</w:t>
      </w:r>
      <w:proofErr w:type="spellEnd"/>
      <w:r w:rsidR="004B4FF4">
        <w:t xml:space="preserve"> et al</w:t>
      </w:r>
      <w:r w:rsidR="00727310">
        <w:t>.</w:t>
      </w:r>
      <w:r w:rsidR="004B4FF4">
        <w:t xml:space="preserve"> </w:t>
      </w:r>
      <w:r w:rsidR="00727310">
        <w:t xml:space="preserve">(2008) </w:t>
      </w:r>
      <w:r>
        <w:t>examine</w:t>
      </w:r>
      <w:r w:rsidR="007A4202">
        <w:t>d</w:t>
      </w:r>
      <w:r>
        <w:t xml:space="preserve">, 1981-2000, overlaps to some extent with the time period in my analysis (1994-2007), but one of the variables they factor-analyzed, </w:t>
      </w:r>
      <w:proofErr w:type="spellStart"/>
      <w:r>
        <w:t>Bollen’s</w:t>
      </w:r>
      <w:proofErr w:type="spellEnd"/>
      <w:r>
        <w:t xml:space="preserve"> </w:t>
      </w:r>
      <w:r w:rsidR="00D76184">
        <w:rPr>
          <w:i/>
        </w:rPr>
        <w:t>extent of the suffrage</w:t>
      </w:r>
      <w:r w:rsidR="007A4202">
        <w:t xml:space="preserve">—an </w:t>
      </w:r>
      <w:r>
        <w:t>index</w:t>
      </w:r>
      <w:r w:rsidR="007A4202">
        <w:t xml:space="preserve"> of</w:t>
      </w:r>
      <w:r>
        <w:t xml:space="preserve"> the percentage of the population twenty years or older that has the right to vote in national elections</w:t>
      </w:r>
      <w:r w:rsidR="007A4202">
        <w:t xml:space="preserve">—did </w:t>
      </w:r>
      <w:r>
        <w:t xml:space="preserve">not extend past the year 2000. Nevertheless, I created a similar measure by calculating the voting age population as a percentage of the overall population, and was indeed able to reproduce the results in </w:t>
      </w:r>
      <w:proofErr w:type="spellStart"/>
      <w:r>
        <w:t>Coppedge</w:t>
      </w:r>
      <w:proofErr w:type="spellEnd"/>
      <w:r>
        <w:t xml:space="preserve"> et al. (2008) using all fourteen variables they included.</w:t>
      </w:r>
      <w:r>
        <w:rPr>
          <w:rStyle w:val="EndnoteReference"/>
        </w:rPr>
        <w:endnoteReference w:id="19"/>
      </w:r>
      <w:r>
        <w:t xml:space="preserve"> Similar to </w:t>
      </w:r>
      <w:proofErr w:type="spellStart"/>
      <w:r>
        <w:t>Coppedge</w:t>
      </w:r>
      <w:proofErr w:type="spellEnd"/>
      <w:r>
        <w:t xml:space="preserve"> et al. (2008), who were able to explain 71% of the variance in their data, the overall variance explained by my analysis was 69%.</w:t>
      </w:r>
    </w:p>
    <w:p w:rsidR="00BB62CF" w:rsidRDefault="00BB62CF" w:rsidP="00BB62CF">
      <w:pPr>
        <w:spacing w:line="480" w:lineRule="auto"/>
        <w:ind w:firstLine="720"/>
      </w:pPr>
      <w:r>
        <w:t xml:space="preserve">I then made a few adjustments to their analysis. First, I dropped one of the variables they used, the ordinal indicator of </w:t>
      </w:r>
      <w:r w:rsidRPr="00352722">
        <w:rPr>
          <w:i/>
        </w:rPr>
        <w:t>civil liberties</w:t>
      </w:r>
      <w:r>
        <w:t xml:space="preserve"> from Freedom House, and added Freedo</w:t>
      </w:r>
      <w:r w:rsidR="007A4202">
        <w:t>m</w:t>
      </w:r>
      <w:r>
        <w:t xml:space="preserve"> House’s indicator of </w:t>
      </w:r>
      <w:r w:rsidRPr="00352722">
        <w:rPr>
          <w:i/>
        </w:rPr>
        <w:t>freedom of the press</w:t>
      </w:r>
      <w:r>
        <w:t xml:space="preserve">. My rationale for doing this is that the civil liberties measure </w:t>
      </w:r>
      <w:r w:rsidR="00094156">
        <w:t xml:space="preserve">goes beyond the basic freedoms Dahl enumerated </w:t>
      </w:r>
      <w:r w:rsidR="00CB281F">
        <w:t>to include</w:t>
      </w:r>
      <w:r>
        <w:t xml:space="preserve"> institutions designed to uphold these freedoms such as an independent judiciary and the rule of law. Freedom House also includes in this measure property and </w:t>
      </w:r>
      <w:r w:rsidR="00CB281F">
        <w:t xml:space="preserve">other </w:t>
      </w:r>
      <w:r>
        <w:t xml:space="preserve">rights that are best examined </w:t>
      </w:r>
      <w:r w:rsidR="00853ABA">
        <w:t>separately</w:t>
      </w:r>
      <w:r>
        <w:t>. The adjustments, however, should not change the results too much since the civil liberties indicator includes information on freedom of expression, association, and assembly that is already coded separately.</w:t>
      </w:r>
      <w:r>
        <w:rPr>
          <w:rStyle w:val="EndnoteReference"/>
        </w:rPr>
        <w:endnoteReference w:id="20"/>
      </w:r>
      <w:r>
        <w:t xml:space="preserve">  </w:t>
      </w:r>
    </w:p>
    <w:p w:rsidR="00CB281F" w:rsidRDefault="00BB62CF" w:rsidP="00BB62CF">
      <w:pPr>
        <w:spacing w:line="480" w:lineRule="auto"/>
        <w:ind w:firstLine="720"/>
      </w:pPr>
      <w:r>
        <w:t xml:space="preserve">Next, I added to this list a number of variables tapping into other freedoms that, if upheld and protected, should render democracies more representative, participatory, accountable, and egalitarian. </w:t>
      </w:r>
      <w:r w:rsidR="00197F74">
        <w:t xml:space="preserve">These rights probably matter as much to the quality of democracy after the Third </w:t>
      </w:r>
      <w:r w:rsidR="00197F74">
        <w:lastRenderedPageBreak/>
        <w:t xml:space="preserve">Wave </w:t>
      </w:r>
      <w:r w:rsidR="002E7A6C">
        <w:t xml:space="preserve">as </w:t>
      </w:r>
      <w:r w:rsidR="00197F74">
        <w:t xml:space="preserve">the basic civil and political rights Dahl enumerated. </w:t>
      </w:r>
      <w:r>
        <w:t xml:space="preserve">These include the </w:t>
      </w:r>
      <w:r w:rsidRPr="00352722">
        <w:rPr>
          <w:i/>
        </w:rPr>
        <w:t>rights to physical integrity</w:t>
      </w:r>
      <w:r>
        <w:t xml:space="preserve"> aggregated as an index, </w:t>
      </w:r>
      <w:r w:rsidRPr="00352722">
        <w:rPr>
          <w:i/>
        </w:rPr>
        <w:t>worker’s rights</w:t>
      </w:r>
      <w:r>
        <w:t xml:space="preserve">, </w:t>
      </w:r>
      <w:r w:rsidRPr="00352722">
        <w:rPr>
          <w:i/>
        </w:rPr>
        <w:t>women’s social rights</w:t>
      </w:r>
      <w:r>
        <w:t xml:space="preserve">, and </w:t>
      </w:r>
      <w:r w:rsidRPr="00352722">
        <w:rPr>
          <w:i/>
        </w:rPr>
        <w:t>women’s economic rights</w:t>
      </w:r>
      <w:r>
        <w:t>, all derived from the CIRI Human Rights Data Project (</w:t>
      </w:r>
      <w:proofErr w:type="spellStart"/>
      <w:r>
        <w:t>Cingranelli</w:t>
      </w:r>
      <w:proofErr w:type="spellEnd"/>
      <w:r>
        <w:t xml:space="preserve"> and Richards 2010). Although these rights are all enumerated in the Freedom House ordinal measure of civil liberties, it is important to analyze them separately since Dahl </w:t>
      </w:r>
      <w:r w:rsidR="00197F74">
        <w:t xml:space="preserve">himself did not </w:t>
      </w:r>
      <w:r>
        <w:t xml:space="preserve">draw links between particular </w:t>
      </w:r>
      <w:r w:rsidR="0064382C">
        <w:t xml:space="preserve">freedoms </w:t>
      </w:r>
      <w:r>
        <w:t xml:space="preserve">and his two regime dimensions. </w:t>
      </w:r>
    </w:p>
    <w:p w:rsidR="00BB62CF" w:rsidRDefault="00584DBE" w:rsidP="00BB62CF">
      <w:pPr>
        <w:spacing w:line="480" w:lineRule="auto"/>
        <w:ind w:firstLine="720"/>
      </w:pPr>
      <w:r>
        <w:rPr>
          <w:rFonts w:ascii="Times" w:eastAsia="Times" w:hAnsi="Times" w:cs="Times"/>
        </w:rPr>
        <w:t xml:space="preserve">To explore </w:t>
      </w:r>
      <w:r w:rsidR="00B1720F">
        <w:rPr>
          <w:rFonts w:ascii="Times" w:eastAsia="Times" w:hAnsi="Times" w:cs="Times"/>
        </w:rPr>
        <w:t>how many latent factors give rise to</w:t>
      </w:r>
      <w:r>
        <w:rPr>
          <w:rFonts w:ascii="Times" w:eastAsia="Times" w:hAnsi="Times" w:cs="Times"/>
        </w:rPr>
        <w:t xml:space="preserve"> these variables, </w:t>
      </w:r>
      <w:r w:rsidR="00CB281F">
        <w:rPr>
          <w:rFonts w:ascii="Times" w:eastAsia="Times" w:hAnsi="Times" w:cs="Times"/>
        </w:rPr>
        <w:t>I rely on</w:t>
      </w:r>
      <w:r w:rsidR="00CB281F" w:rsidRPr="00A60CE7">
        <w:rPr>
          <w:rFonts w:ascii="Times" w:eastAsia="Times" w:hAnsi="Times" w:cs="Times"/>
        </w:rPr>
        <w:t xml:space="preserve"> </w:t>
      </w:r>
      <w:r w:rsidR="00CB281F">
        <w:rPr>
          <w:rFonts w:ascii="Times" w:eastAsia="Times" w:hAnsi="Times" w:cs="Times"/>
        </w:rPr>
        <w:t>confirmatory factor analysis (CFA)</w:t>
      </w:r>
      <w:r>
        <w:rPr>
          <w:rFonts w:ascii="Times" w:eastAsia="Times" w:hAnsi="Times" w:cs="Times"/>
        </w:rPr>
        <w:t>.</w:t>
      </w:r>
      <w:r w:rsidR="00CB281F">
        <w:rPr>
          <w:rFonts w:ascii="Times" w:eastAsia="Times" w:hAnsi="Times" w:cs="Times"/>
        </w:rPr>
        <w:t xml:space="preserve"> </w:t>
      </w:r>
      <w:r w:rsidR="00CB281F" w:rsidRPr="00A60CE7">
        <w:rPr>
          <w:rFonts w:ascii="Times" w:eastAsia="Times" w:hAnsi="Times" w:cs="Times"/>
        </w:rPr>
        <w:t xml:space="preserve">CFA </w:t>
      </w:r>
      <w:r w:rsidR="005016AE">
        <w:rPr>
          <w:rFonts w:ascii="Times" w:eastAsia="Times" w:hAnsi="Times" w:cs="Times"/>
        </w:rPr>
        <w:t xml:space="preserve">allows us to test hypotheses about the structure of factors, </w:t>
      </w:r>
      <w:r w:rsidR="00727310">
        <w:rPr>
          <w:rFonts w:ascii="Times" w:eastAsia="Times" w:hAnsi="Times" w:cs="Times"/>
        </w:rPr>
        <w:t xml:space="preserve">add </w:t>
      </w:r>
      <w:proofErr w:type="spellStart"/>
      <w:r w:rsidR="005016AE">
        <w:rPr>
          <w:rFonts w:ascii="Times" w:eastAsia="Times" w:hAnsi="Times" w:cs="Times"/>
        </w:rPr>
        <w:t>covariance</w:t>
      </w:r>
      <w:r w:rsidR="00727310">
        <w:rPr>
          <w:rFonts w:ascii="Times" w:eastAsia="Times" w:hAnsi="Times" w:cs="Times"/>
        </w:rPr>
        <w:t>s</w:t>
      </w:r>
      <w:proofErr w:type="spellEnd"/>
      <w:r w:rsidR="005016AE">
        <w:rPr>
          <w:rFonts w:ascii="Times" w:eastAsia="Times" w:hAnsi="Times" w:cs="Times"/>
        </w:rPr>
        <w:t xml:space="preserve"> between pairs of observed and latent variables, and derive various measures of model fit. Compared to the </w:t>
      </w:r>
      <w:r w:rsidR="0064382C">
        <w:rPr>
          <w:rFonts w:ascii="Times" w:eastAsia="Times" w:hAnsi="Times" w:cs="Times"/>
        </w:rPr>
        <w:t>principal components</w:t>
      </w:r>
      <w:r w:rsidR="005016AE">
        <w:rPr>
          <w:rFonts w:ascii="Times" w:eastAsia="Times" w:hAnsi="Times" w:cs="Times"/>
        </w:rPr>
        <w:t xml:space="preserve"> factor analyses </w:t>
      </w:r>
      <w:proofErr w:type="spellStart"/>
      <w:r w:rsidR="005016AE">
        <w:rPr>
          <w:rFonts w:ascii="Times" w:eastAsia="Times" w:hAnsi="Times" w:cs="Times"/>
        </w:rPr>
        <w:t>Coppedge</w:t>
      </w:r>
      <w:proofErr w:type="spellEnd"/>
      <w:r w:rsidR="005016AE">
        <w:rPr>
          <w:rFonts w:ascii="Times" w:eastAsia="Times" w:hAnsi="Times" w:cs="Times"/>
        </w:rPr>
        <w:t xml:space="preserve"> et al. (2008) performed, CFA also models each variable’s random error</w:t>
      </w:r>
      <w:r w:rsidR="00CB281F" w:rsidRPr="00A60CE7">
        <w:rPr>
          <w:rFonts w:ascii="Times" w:eastAsia="Times" w:hAnsi="Times" w:cs="Times"/>
        </w:rPr>
        <w:t xml:space="preserve"> (</w:t>
      </w:r>
      <w:proofErr w:type="spellStart"/>
      <w:r w:rsidR="00CB281F" w:rsidRPr="00A60CE7">
        <w:rPr>
          <w:rFonts w:ascii="Times" w:eastAsia="Times" w:hAnsi="Times" w:cs="Times"/>
        </w:rPr>
        <w:t>Acock</w:t>
      </w:r>
      <w:proofErr w:type="spellEnd"/>
      <w:r w:rsidR="00CB281F" w:rsidRPr="00A60CE7">
        <w:rPr>
          <w:rFonts w:ascii="Times" w:eastAsia="Times" w:hAnsi="Times" w:cs="Times"/>
        </w:rPr>
        <w:t xml:space="preserve"> 2013: 1</w:t>
      </w:r>
      <w:r w:rsidR="005016AE">
        <w:rPr>
          <w:rFonts w:ascii="Times" w:eastAsia="Times" w:hAnsi="Times" w:cs="Times"/>
        </w:rPr>
        <w:t>2</w:t>
      </w:r>
      <w:r w:rsidR="00CB281F" w:rsidRPr="00A60CE7">
        <w:rPr>
          <w:rFonts w:ascii="Times" w:eastAsia="Times" w:hAnsi="Times" w:cs="Times"/>
        </w:rPr>
        <w:t>).</w:t>
      </w:r>
      <w:r w:rsidR="00D16ADB">
        <w:rPr>
          <w:rFonts w:ascii="Times" w:eastAsia="Times" w:hAnsi="Times" w:cs="Times"/>
        </w:rPr>
        <w:t xml:space="preserve"> </w:t>
      </w:r>
      <w:r w:rsidR="00BB62CF">
        <w:t xml:space="preserve">Table </w:t>
      </w:r>
      <w:r w:rsidR="009B12BA">
        <w:t>1</w:t>
      </w:r>
      <w:r w:rsidR="00BB62CF">
        <w:t xml:space="preserve"> presents the factor</w:t>
      </w:r>
      <w:r w:rsidR="005016AE">
        <w:t xml:space="preserve">s, </w:t>
      </w:r>
      <w:r w:rsidR="00B51DF6">
        <w:t>their</w:t>
      </w:r>
      <w:r w:rsidR="00BB62CF">
        <w:t xml:space="preserve"> loadings </w:t>
      </w:r>
      <w:r w:rsidR="00102601">
        <w:t>(</w:t>
      </w:r>
      <w:r w:rsidR="004E4ADD">
        <w:t>or</w:t>
      </w:r>
      <w:r w:rsidR="00102601">
        <w:t xml:space="preserve"> coefficients) </w:t>
      </w:r>
      <w:r w:rsidR="00BB62CF">
        <w:t xml:space="preserve">and </w:t>
      </w:r>
      <w:r w:rsidR="005016AE">
        <w:t>standard errors</w:t>
      </w:r>
      <w:r w:rsidR="00BB62CF">
        <w:t xml:space="preserve"> for the </w:t>
      </w:r>
      <w:r w:rsidR="005016AE">
        <w:t xml:space="preserve">eighteen </w:t>
      </w:r>
      <w:r w:rsidR="00BB62CF">
        <w:t xml:space="preserve">variables examined. </w:t>
      </w:r>
    </w:p>
    <w:p w:rsidR="00935C0C" w:rsidRDefault="00935C0C" w:rsidP="00935C0C">
      <w:pPr>
        <w:ind w:firstLine="720"/>
      </w:pPr>
    </w:p>
    <w:p w:rsidR="001F7E6D" w:rsidRDefault="00935C0C" w:rsidP="0056776E">
      <w:pPr>
        <w:spacing w:after="200" w:line="276" w:lineRule="auto"/>
        <w:rPr>
          <w:b/>
        </w:rPr>
      </w:pPr>
      <w:r w:rsidRPr="00154A63">
        <w:rPr>
          <w:b/>
        </w:rPr>
        <w:t xml:space="preserve">Table </w:t>
      </w:r>
      <w:r>
        <w:rPr>
          <w:b/>
        </w:rPr>
        <w:t>1</w:t>
      </w:r>
      <w:r w:rsidRPr="00154A63">
        <w:rPr>
          <w:b/>
        </w:rPr>
        <w:t xml:space="preserve"> </w:t>
      </w:r>
      <w:proofErr w:type="gramStart"/>
      <w:r w:rsidRPr="00154A63">
        <w:rPr>
          <w:b/>
        </w:rPr>
        <w:t>Dimensions</w:t>
      </w:r>
      <w:proofErr w:type="gramEnd"/>
      <w:r w:rsidRPr="00154A63">
        <w:rPr>
          <w:b/>
        </w:rPr>
        <w:t xml:space="preserve"> of Political Regimes, 1994-2007</w:t>
      </w:r>
    </w:p>
    <w:p w:rsidR="001F7E6D" w:rsidRDefault="001F7E6D">
      <w:pPr>
        <w:rPr>
          <w:b/>
        </w:rPr>
      </w:pPr>
      <w:r>
        <w:rPr>
          <w:b/>
        </w:rPr>
        <w:br w:type="page"/>
      </w:r>
    </w:p>
    <w:tbl>
      <w:tblPr>
        <w:tblW w:w="0" w:type="auto"/>
        <w:jc w:val="center"/>
        <w:tblBorders>
          <w:top w:val="single" w:sz="6" w:space="0" w:color="auto"/>
          <w:bottom w:val="single" w:sz="6" w:space="0" w:color="auto"/>
        </w:tblBorders>
        <w:tblCellMar>
          <w:left w:w="144" w:type="dxa"/>
          <w:right w:w="144" w:type="dxa"/>
        </w:tblCellMar>
        <w:tblLook w:val="0000" w:firstRow="0" w:lastRow="0" w:firstColumn="0" w:lastColumn="0" w:noHBand="0" w:noVBand="0"/>
      </w:tblPr>
      <w:tblGrid>
        <w:gridCol w:w="4294"/>
        <w:gridCol w:w="1602"/>
        <w:gridCol w:w="1342"/>
        <w:gridCol w:w="1815"/>
      </w:tblGrid>
      <w:tr w:rsidR="0056776E" w:rsidTr="0056776E">
        <w:trPr>
          <w:jc w:val="center"/>
        </w:trPr>
        <w:tc>
          <w:tcPr>
            <w:tcW w:w="0" w:type="auto"/>
            <w:tcBorders>
              <w:top w:val="single" w:sz="6" w:space="0" w:color="auto"/>
              <w:bottom w:val="single" w:sz="6" w:space="0" w:color="auto"/>
            </w:tcBorders>
            <w:vAlign w:val="bottom"/>
          </w:tcPr>
          <w:p w:rsidR="0056776E" w:rsidRPr="0056776E" w:rsidRDefault="0056776E" w:rsidP="005016AE">
            <w:pPr>
              <w:rPr>
                <w:rFonts w:eastAsia="Times New Roman"/>
                <w:i/>
                <w:color w:val="000000"/>
              </w:rPr>
            </w:pPr>
            <w:r w:rsidRPr="0056776E">
              <w:rPr>
                <w:rFonts w:eastAsia="Times New Roman"/>
                <w:i/>
                <w:color w:val="000000"/>
              </w:rPr>
              <w:lastRenderedPageBreak/>
              <w:t>Variable</w:t>
            </w:r>
          </w:p>
        </w:tc>
        <w:tc>
          <w:tcPr>
            <w:tcW w:w="0" w:type="auto"/>
            <w:tcBorders>
              <w:top w:val="single" w:sz="6" w:space="0" w:color="auto"/>
              <w:bottom w:val="single" w:sz="6" w:space="0" w:color="auto"/>
            </w:tcBorders>
          </w:tcPr>
          <w:p w:rsidR="0056776E" w:rsidRPr="0056776E" w:rsidRDefault="0056776E" w:rsidP="005016AE">
            <w:pPr>
              <w:widowControl w:val="0"/>
              <w:autoSpaceDE w:val="0"/>
              <w:autoSpaceDN w:val="0"/>
              <w:adjustRightInd w:val="0"/>
              <w:rPr>
                <w:i/>
              </w:rPr>
            </w:pPr>
            <w:r w:rsidRPr="0056776E">
              <w:rPr>
                <w:i/>
              </w:rPr>
              <w:t>Component</w:t>
            </w:r>
          </w:p>
        </w:tc>
        <w:tc>
          <w:tcPr>
            <w:tcW w:w="0" w:type="auto"/>
            <w:tcBorders>
              <w:top w:val="single" w:sz="6" w:space="0" w:color="auto"/>
              <w:bottom w:val="single" w:sz="6" w:space="0" w:color="auto"/>
            </w:tcBorders>
            <w:vAlign w:val="bottom"/>
          </w:tcPr>
          <w:p w:rsidR="0056776E" w:rsidRPr="0056776E" w:rsidRDefault="0056776E">
            <w:pPr>
              <w:jc w:val="right"/>
              <w:rPr>
                <w:i/>
                <w:color w:val="000000"/>
              </w:rPr>
            </w:pPr>
            <w:r w:rsidRPr="0056776E">
              <w:rPr>
                <w:i/>
                <w:color w:val="000000"/>
              </w:rPr>
              <w:t>Coefficient</w:t>
            </w:r>
          </w:p>
        </w:tc>
        <w:tc>
          <w:tcPr>
            <w:tcW w:w="0" w:type="auto"/>
            <w:tcBorders>
              <w:top w:val="single" w:sz="6" w:space="0" w:color="auto"/>
              <w:bottom w:val="single" w:sz="6" w:space="0" w:color="auto"/>
            </w:tcBorders>
          </w:tcPr>
          <w:p w:rsidR="0056776E" w:rsidRPr="0056776E" w:rsidRDefault="0056776E" w:rsidP="0056776E">
            <w:pPr>
              <w:rPr>
                <w:i/>
                <w:color w:val="000000"/>
              </w:rPr>
            </w:pPr>
            <w:r w:rsidRPr="0056776E">
              <w:rPr>
                <w:i/>
                <w:color w:val="000000"/>
              </w:rPr>
              <w:t>Source</w:t>
            </w:r>
          </w:p>
        </w:tc>
      </w:tr>
      <w:tr w:rsidR="0056776E" w:rsidTr="0056776E">
        <w:trPr>
          <w:jc w:val="center"/>
        </w:trPr>
        <w:tc>
          <w:tcPr>
            <w:tcW w:w="0" w:type="auto"/>
            <w:tcBorders>
              <w:top w:val="single" w:sz="6" w:space="0" w:color="auto"/>
            </w:tcBorders>
            <w:vAlign w:val="bottom"/>
          </w:tcPr>
          <w:p w:rsidR="0056776E" w:rsidRPr="0059125C" w:rsidRDefault="0056776E" w:rsidP="005016AE">
            <w:pPr>
              <w:rPr>
                <w:rFonts w:eastAsia="Times New Roman"/>
                <w:color w:val="000000"/>
              </w:rPr>
            </w:pPr>
            <w:r w:rsidRPr="0059125C">
              <w:rPr>
                <w:rFonts w:eastAsia="Times New Roman"/>
                <w:color w:val="000000"/>
              </w:rPr>
              <w:t>Freedom of the press</w:t>
            </w:r>
          </w:p>
        </w:tc>
        <w:tc>
          <w:tcPr>
            <w:tcW w:w="0" w:type="auto"/>
            <w:tcBorders>
              <w:top w:val="single" w:sz="6" w:space="0" w:color="auto"/>
            </w:tcBorders>
          </w:tcPr>
          <w:p w:rsidR="0056776E" w:rsidRDefault="0056776E" w:rsidP="005016AE">
            <w:pPr>
              <w:widowControl w:val="0"/>
              <w:autoSpaceDE w:val="0"/>
              <w:autoSpaceDN w:val="0"/>
              <w:adjustRightInd w:val="0"/>
            </w:pPr>
            <w:r>
              <w:t>Human rights</w:t>
            </w:r>
          </w:p>
        </w:tc>
        <w:tc>
          <w:tcPr>
            <w:tcW w:w="0" w:type="auto"/>
            <w:tcBorders>
              <w:top w:val="single" w:sz="6" w:space="0" w:color="auto"/>
            </w:tcBorders>
            <w:vAlign w:val="bottom"/>
          </w:tcPr>
          <w:p w:rsidR="0056776E" w:rsidRPr="00C3718E" w:rsidRDefault="0056776E">
            <w:pPr>
              <w:jc w:val="right"/>
              <w:rPr>
                <w:color w:val="000000"/>
              </w:rPr>
            </w:pPr>
            <w:r w:rsidRPr="00C3718E">
              <w:rPr>
                <w:color w:val="000000"/>
              </w:rPr>
              <w:t>0.907</w:t>
            </w:r>
            <w:r>
              <w:t>***</w:t>
            </w:r>
          </w:p>
        </w:tc>
        <w:tc>
          <w:tcPr>
            <w:tcW w:w="0" w:type="auto"/>
            <w:tcBorders>
              <w:top w:val="single" w:sz="6" w:space="0" w:color="auto"/>
            </w:tcBorders>
          </w:tcPr>
          <w:p w:rsidR="0056776E" w:rsidRPr="00C3718E" w:rsidRDefault="0056776E" w:rsidP="0056776E">
            <w:pPr>
              <w:rPr>
                <w:color w:val="000000"/>
              </w:rPr>
            </w:pPr>
            <w:r>
              <w:rPr>
                <w:color w:val="000000"/>
              </w:rPr>
              <w:t>Freedom House</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0.005</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Political rights</w:t>
            </w:r>
          </w:p>
        </w:tc>
        <w:tc>
          <w:tcPr>
            <w:tcW w:w="0" w:type="auto"/>
          </w:tcPr>
          <w:p w:rsidR="0056776E" w:rsidRDefault="0056776E" w:rsidP="005016AE">
            <w:pPr>
              <w:widowControl w:val="0"/>
              <w:autoSpaceDE w:val="0"/>
              <w:autoSpaceDN w:val="0"/>
              <w:adjustRightInd w:val="0"/>
            </w:pPr>
            <w:r>
              <w:t>Human rights</w:t>
            </w:r>
          </w:p>
        </w:tc>
        <w:tc>
          <w:tcPr>
            <w:tcW w:w="0" w:type="auto"/>
            <w:vAlign w:val="bottom"/>
          </w:tcPr>
          <w:p w:rsidR="0056776E" w:rsidRPr="00C3718E" w:rsidRDefault="0056776E">
            <w:pPr>
              <w:jc w:val="right"/>
              <w:rPr>
                <w:color w:val="000000"/>
              </w:rPr>
            </w:pPr>
            <w:r w:rsidRPr="00C3718E">
              <w:rPr>
                <w:color w:val="000000"/>
              </w:rPr>
              <w:t>-0.978</w:t>
            </w:r>
            <w:r>
              <w:t>***</w:t>
            </w:r>
          </w:p>
        </w:tc>
        <w:tc>
          <w:tcPr>
            <w:tcW w:w="0" w:type="auto"/>
          </w:tcPr>
          <w:p w:rsidR="0056776E" w:rsidRPr="00C3718E" w:rsidRDefault="0056776E" w:rsidP="0056776E">
            <w:pPr>
              <w:rPr>
                <w:color w:val="000000"/>
              </w:rPr>
            </w:pPr>
            <w:r>
              <w:rPr>
                <w:color w:val="000000"/>
              </w:rPr>
              <w:t>Freedom House</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0.002</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Freedom of speech</w:t>
            </w:r>
          </w:p>
        </w:tc>
        <w:tc>
          <w:tcPr>
            <w:tcW w:w="0" w:type="auto"/>
          </w:tcPr>
          <w:p w:rsidR="0056776E" w:rsidRDefault="0056776E" w:rsidP="005016AE">
            <w:pPr>
              <w:widowControl w:val="0"/>
              <w:autoSpaceDE w:val="0"/>
              <w:autoSpaceDN w:val="0"/>
              <w:adjustRightInd w:val="0"/>
            </w:pPr>
            <w:r>
              <w:t>Human rights</w:t>
            </w:r>
          </w:p>
        </w:tc>
        <w:tc>
          <w:tcPr>
            <w:tcW w:w="0" w:type="auto"/>
            <w:vAlign w:val="bottom"/>
          </w:tcPr>
          <w:p w:rsidR="0056776E" w:rsidRPr="00C3718E" w:rsidRDefault="0056776E">
            <w:pPr>
              <w:jc w:val="right"/>
              <w:rPr>
                <w:color w:val="000000"/>
              </w:rPr>
            </w:pPr>
            <w:r w:rsidRPr="00C3718E">
              <w:rPr>
                <w:color w:val="000000"/>
              </w:rPr>
              <w:t>0.728</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0.013</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Freedom of assembly and association</w:t>
            </w:r>
          </w:p>
        </w:tc>
        <w:tc>
          <w:tcPr>
            <w:tcW w:w="0" w:type="auto"/>
          </w:tcPr>
          <w:p w:rsidR="0056776E" w:rsidRDefault="0056776E" w:rsidP="005016AE">
            <w:pPr>
              <w:widowControl w:val="0"/>
              <w:autoSpaceDE w:val="0"/>
              <w:autoSpaceDN w:val="0"/>
              <w:adjustRightInd w:val="0"/>
            </w:pPr>
            <w:r>
              <w:t>Human rights</w:t>
            </w:r>
          </w:p>
        </w:tc>
        <w:tc>
          <w:tcPr>
            <w:tcW w:w="0" w:type="auto"/>
            <w:vAlign w:val="bottom"/>
          </w:tcPr>
          <w:p w:rsidR="0056776E" w:rsidRPr="00C3718E" w:rsidRDefault="0056776E">
            <w:pPr>
              <w:jc w:val="right"/>
              <w:rPr>
                <w:color w:val="000000"/>
              </w:rPr>
            </w:pPr>
            <w:r w:rsidRPr="00C3718E">
              <w:rPr>
                <w:color w:val="000000"/>
              </w:rPr>
              <w:t>0.725</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0.013</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935C0C">
            <w:pPr>
              <w:widowControl w:val="0"/>
              <w:autoSpaceDE w:val="0"/>
              <w:autoSpaceDN w:val="0"/>
              <w:adjustRightInd w:val="0"/>
            </w:pPr>
            <w:r>
              <w:t>Freedom of electoral self-determination</w:t>
            </w:r>
          </w:p>
        </w:tc>
        <w:tc>
          <w:tcPr>
            <w:tcW w:w="0" w:type="auto"/>
          </w:tcPr>
          <w:p w:rsidR="0056776E" w:rsidRDefault="0056776E" w:rsidP="005016AE">
            <w:pPr>
              <w:widowControl w:val="0"/>
              <w:autoSpaceDE w:val="0"/>
              <w:autoSpaceDN w:val="0"/>
              <w:adjustRightInd w:val="0"/>
            </w:pPr>
            <w:r>
              <w:t>Human rights</w:t>
            </w:r>
          </w:p>
        </w:tc>
        <w:tc>
          <w:tcPr>
            <w:tcW w:w="0" w:type="auto"/>
            <w:vAlign w:val="bottom"/>
          </w:tcPr>
          <w:p w:rsidR="0056776E" w:rsidRPr="00C3718E" w:rsidRDefault="0056776E">
            <w:pPr>
              <w:jc w:val="right"/>
              <w:rPr>
                <w:color w:val="000000"/>
              </w:rPr>
            </w:pPr>
            <w:r w:rsidRPr="00C3718E">
              <w:rPr>
                <w:color w:val="000000"/>
              </w:rPr>
              <w:t>0.804</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0.010</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P</w:t>
            </w:r>
            <w:r w:rsidRPr="00935C0C">
              <w:t>hysical integrity rights index</w:t>
            </w:r>
          </w:p>
        </w:tc>
        <w:tc>
          <w:tcPr>
            <w:tcW w:w="0" w:type="auto"/>
          </w:tcPr>
          <w:p w:rsidR="0056776E" w:rsidRDefault="0056776E" w:rsidP="005016AE">
            <w:pPr>
              <w:widowControl w:val="0"/>
              <w:autoSpaceDE w:val="0"/>
              <w:autoSpaceDN w:val="0"/>
              <w:adjustRightInd w:val="0"/>
            </w:pPr>
            <w:r>
              <w:t>Human rights</w:t>
            </w:r>
          </w:p>
        </w:tc>
        <w:tc>
          <w:tcPr>
            <w:tcW w:w="0" w:type="auto"/>
            <w:vAlign w:val="bottom"/>
          </w:tcPr>
          <w:p w:rsidR="0056776E" w:rsidRPr="00C3718E" w:rsidRDefault="0056776E">
            <w:pPr>
              <w:jc w:val="right"/>
              <w:rPr>
                <w:color w:val="000000"/>
              </w:rPr>
            </w:pPr>
            <w:r w:rsidRPr="00C3718E">
              <w:rPr>
                <w:color w:val="000000"/>
              </w:rPr>
              <w:t>0.583</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0.017</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W</w:t>
            </w:r>
            <w:r w:rsidRPr="00935C0C">
              <w:t>orkers' rights</w:t>
            </w:r>
          </w:p>
        </w:tc>
        <w:tc>
          <w:tcPr>
            <w:tcW w:w="0" w:type="auto"/>
          </w:tcPr>
          <w:p w:rsidR="0056776E" w:rsidRDefault="0056776E" w:rsidP="005016AE">
            <w:pPr>
              <w:widowControl w:val="0"/>
              <w:autoSpaceDE w:val="0"/>
              <w:autoSpaceDN w:val="0"/>
              <w:adjustRightInd w:val="0"/>
            </w:pPr>
            <w:r>
              <w:t>Human rights</w:t>
            </w:r>
          </w:p>
        </w:tc>
        <w:tc>
          <w:tcPr>
            <w:tcW w:w="0" w:type="auto"/>
            <w:vAlign w:val="bottom"/>
          </w:tcPr>
          <w:p w:rsidR="0056776E" w:rsidRPr="00C3718E" w:rsidRDefault="0056776E">
            <w:pPr>
              <w:jc w:val="right"/>
              <w:rPr>
                <w:color w:val="000000"/>
              </w:rPr>
            </w:pPr>
            <w:r w:rsidRPr="00C3718E">
              <w:rPr>
                <w:color w:val="000000"/>
              </w:rPr>
              <w:t>0.536</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0.019</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C</w:t>
            </w:r>
            <w:r w:rsidRPr="00935C0C">
              <w:t>ompetitiveness of participation</w:t>
            </w:r>
          </w:p>
        </w:tc>
        <w:tc>
          <w:tcPr>
            <w:tcW w:w="0" w:type="auto"/>
          </w:tcPr>
          <w:p w:rsidR="0056776E" w:rsidRDefault="00322A3B" w:rsidP="005016AE">
            <w:pPr>
              <w:widowControl w:val="0"/>
              <w:autoSpaceDE w:val="0"/>
              <w:autoSpaceDN w:val="0"/>
              <w:adjustRightInd w:val="0"/>
            </w:pPr>
            <w:r>
              <w:t>Political</w:t>
            </w:r>
          </w:p>
        </w:tc>
        <w:tc>
          <w:tcPr>
            <w:tcW w:w="0" w:type="auto"/>
            <w:vAlign w:val="bottom"/>
          </w:tcPr>
          <w:p w:rsidR="0056776E" w:rsidRPr="00C3718E" w:rsidRDefault="0056776E">
            <w:pPr>
              <w:jc w:val="right"/>
              <w:rPr>
                <w:color w:val="000000"/>
              </w:rPr>
            </w:pPr>
            <w:r w:rsidRPr="00C3718E">
              <w:rPr>
                <w:color w:val="000000"/>
              </w:rPr>
              <w:t>0.783</w:t>
            </w:r>
            <w:r>
              <w:t>***</w:t>
            </w:r>
          </w:p>
        </w:tc>
        <w:tc>
          <w:tcPr>
            <w:tcW w:w="0" w:type="auto"/>
          </w:tcPr>
          <w:p w:rsidR="0056776E" w:rsidRPr="00C3718E" w:rsidRDefault="0056776E" w:rsidP="0056776E">
            <w:pPr>
              <w:rPr>
                <w:color w:val="000000"/>
              </w:rPr>
            </w:pPr>
            <w:r>
              <w:rPr>
                <w:color w:val="000000"/>
              </w:rPr>
              <w:t>Polity IV</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322A3B" w:rsidP="005016AE">
            <w:pPr>
              <w:widowControl w:val="0"/>
              <w:autoSpaceDE w:val="0"/>
              <w:autoSpaceDN w:val="0"/>
              <w:adjustRightInd w:val="0"/>
            </w:pPr>
            <w:r>
              <w:t>competition</w:t>
            </w:r>
          </w:p>
        </w:tc>
        <w:tc>
          <w:tcPr>
            <w:tcW w:w="0" w:type="auto"/>
            <w:vAlign w:val="bottom"/>
          </w:tcPr>
          <w:p w:rsidR="0056776E" w:rsidRPr="00C3718E" w:rsidRDefault="0056776E">
            <w:pPr>
              <w:jc w:val="right"/>
              <w:rPr>
                <w:color w:val="000000"/>
              </w:rPr>
            </w:pPr>
            <w:r>
              <w:rPr>
                <w:color w:val="000000"/>
              </w:rPr>
              <w:t>(</w:t>
            </w:r>
            <w:r w:rsidRPr="00C3718E">
              <w:rPr>
                <w:color w:val="000000"/>
              </w:rPr>
              <w:t>0.011</w:t>
            </w:r>
            <w:r>
              <w:rPr>
                <w:color w:val="000000"/>
              </w:rPr>
              <w:t>)</w:t>
            </w:r>
          </w:p>
        </w:tc>
        <w:tc>
          <w:tcPr>
            <w:tcW w:w="0" w:type="auto"/>
          </w:tcPr>
          <w:p w:rsidR="0056776E" w:rsidRDefault="0056776E" w:rsidP="0056776E">
            <w:pPr>
              <w:rPr>
                <w:color w:val="000000"/>
              </w:rPr>
            </w:pPr>
          </w:p>
        </w:tc>
      </w:tr>
      <w:tr w:rsidR="00322A3B" w:rsidTr="0056776E">
        <w:trPr>
          <w:jc w:val="center"/>
        </w:trPr>
        <w:tc>
          <w:tcPr>
            <w:tcW w:w="0" w:type="auto"/>
          </w:tcPr>
          <w:p w:rsidR="00322A3B" w:rsidRDefault="00322A3B" w:rsidP="005016AE">
            <w:pPr>
              <w:widowControl w:val="0"/>
              <w:autoSpaceDE w:val="0"/>
              <w:autoSpaceDN w:val="0"/>
              <w:adjustRightInd w:val="0"/>
            </w:pPr>
            <w:r>
              <w:t>E</w:t>
            </w:r>
            <w:r w:rsidRPr="00935C0C">
              <w:t>xecutive constraints</w:t>
            </w:r>
          </w:p>
        </w:tc>
        <w:tc>
          <w:tcPr>
            <w:tcW w:w="0" w:type="auto"/>
          </w:tcPr>
          <w:p w:rsidR="00322A3B" w:rsidRDefault="00322A3B" w:rsidP="00AD7107">
            <w:pPr>
              <w:widowControl w:val="0"/>
              <w:autoSpaceDE w:val="0"/>
              <w:autoSpaceDN w:val="0"/>
              <w:adjustRightInd w:val="0"/>
            </w:pPr>
            <w:r>
              <w:t>Political</w:t>
            </w:r>
          </w:p>
        </w:tc>
        <w:tc>
          <w:tcPr>
            <w:tcW w:w="0" w:type="auto"/>
            <w:vAlign w:val="bottom"/>
          </w:tcPr>
          <w:p w:rsidR="00322A3B" w:rsidRPr="00C3718E" w:rsidRDefault="00322A3B">
            <w:pPr>
              <w:jc w:val="right"/>
              <w:rPr>
                <w:color w:val="000000"/>
              </w:rPr>
            </w:pPr>
            <w:r w:rsidRPr="00C3718E">
              <w:rPr>
                <w:color w:val="000000"/>
              </w:rPr>
              <w:t>0.937</w:t>
            </w:r>
            <w:r>
              <w:t>***</w:t>
            </w:r>
          </w:p>
        </w:tc>
        <w:tc>
          <w:tcPr>
            <w:tcW w:w="0" w:type="auto"/>
          </w:tcPr>
          <w:p w:rsidR="00322A3B" w:rsidRPr="00C3718E" w:rsidRDefault="00322A3B" w:rsidP="0056776E">
            <w:pPr>
              <w:rPr>
                <w:color w:val="000000"/>
              </w:rPr>
            </w:pPr>
            <w:r>
              <w:rPr>
                <w:color w:val="000000"/>
              </w:rPr>
              <w:t>Polity IV</w:t>
            </w:r>
          </w:p>
        </w:tc>
      </w:tr>
      <w:tr w:rsidR="00322A3B" w:rsidTr="0056776E">
        <w:trPr>
          <w:jc w:val="center"/>
        </w:trPr>
        <w:tc>
          <w:tcPr>
            <w:tcW w:w="0" w:type="auto"/>
          </w:tcPr>
          <w:p w:rsidR="00322A3B" w:rsidRDefault="00322A3B" w:rsidP="005016AE">
            <w:pPr>
              <w:widowControl w:val="0"/>
              <w:autoSpaceDE w:val="0"/>
              <w:autoSpaceDN w:val="0"/>
              <w:adjustRightInd w:val="0"/>
            </w:pPr>
          </w:p>
        </w:tc>
        <w:tc>
          <w:tcPr>
            <w:tcW w:w="0" w:type="auto"/>
          </w:tcPr>
          <w:p w:rsidR="00322A3B" w:rsidRDefault="00322A3B" w:rsidP="00AD7107">
            <w:pPr>
              <w:widowControl w:val="0"/>
              <w:autoSpaceDE w:val="0"/>
              <w:autoSpaceDN w:val="0"/>
              <w:adjustRightInd w:val="0"/>
            </w:pPr>
            <w:r>
              <w:t>competition</w:t>
            </w:r>
          </w:p>
        </w:tc>
        <w:tc>
          <w:tcPr>
            <w:tcW w:w="0" w:type="auto"/>
            <w:vAlign w:val="bottom"/>
          </w:tcPr>
          <w:p w:rsidR="00322A3B" w:rsidRPr="00C3718E" w:rsidRDefault="00322A3B">
            <w:pPr>
              <w:jc w:val="right"/>
              <w:rPr>
                <w:color w:val="000000"/>
              </w:rPr>
            </w:pPr>
            <w:r>
              <w:rPr>
                <w:color w:val="000000"/>
              </w:rPr>
              <w:t>(</w:t>
            </w:r>
            <w:r w:rsidRPr="00C3718E">
              <w:rPr>
                <w:color w:val="000000"/>
              </w:rPr>
              <w:t>0.004</w:t>
            </w:r>
            <w:r>
              <w:rPr>
                <w:color w:val="000000"/>
              </w:rPr>
              <w:t>)</w:t>
            </w:r>
          </w:p>
        </w:tc>
        <w:tc>
          <w:tcPr>
            <w:tcW w:w="0" w:type="auto"/>
          </w:tcPr>
          <w:p w:rsidR="00322A3B" w:rsidRDefault="00322A3B" w:rsidP="0056776E">
            <w:pPr>
              <w:rPr>
                <w:color w:val="000000"/>
              </w:rPr>
            </w:pPr>
          </w:p>
        </w:tc>
      </w:tr>
      <w:tr w:rsidR="00322A3B" w:rsidTr="0056776E">
        <w:trPr>
          <w:jc w:val="center"/>
        </w:trPr>
        <w:tc>
          <w:tcPr>
            <w:tcW w:w="0" w:type="auto"/>
          </w:tcPr>
          <w:p w:rsidR="00322A3B" w:rsidRDefault="00322A3B" w:rsidP="005016AE">
            <w:pPr>
              <w:widowControl w:val="0"/>
              <w:autoSpaceDE w:val="0"/>
              <w:autoSpaceDN w:val="0"/>
              <w:adjustRightInd w:val="0"/>
            </w:pPr>
            <w:r>
              <w:t>Regime type</w:t>
            </w:r>
          </w:p>
        </w:tc>
        <w:tc>
          <w:tcPr>
            <w:tcW w:w="0" w:type="auto"/>
          </w:tcPr>
          <w:p w:rsidR="00322A3B" w:rsidRDefault="00322A3B" w:rsidP="00AD7107">
            <w:pPr>
              <w:widowControl w:val="0"/>
              <w:autoSpaceDE w:val="0"/>
              <w:autoSpaceDN w:val="0"/>
              <w:adjustRightInd w:val="0"/>
            </w:pPr>
            <w:r>
              <w:t>Political</w:t>
            </w:r>
          </w:p>
        </w:tc>
        <w:tc>
          <w:tcPr>
            <w:tcW w:w="0" w:type="auto"/>
            <w:vAlign w:val="bottom"/>
          </w:tcPr>
          <w:p w:rsidR="00322A3B" w:rsidRPr="00C3718E" w:rsidRDefault="00322A3B">
            <w:pPr>
              <w:jc w:val="right"/>
              <w:rPr>
                <w:color w:val="000000"/>
              </w:rPr>
            </w:pPr>
            <w:r w:rsidRPr="00C3718E">
              <w:rPr>
                <w:color w:val="000000"/>
              </w:rPr>
              <w:t>0.831</w:t>
            </w:r>
            <w:r>
              <w:t>***</w:t>
            </w:r>
          </w:p>
        </w:tc>
        <w:tc>
          <w:tcPr>
            <w:tcW w:w="0" w:type="auto"/>
          </w:tcPr>
          <w:p w:rsidR="00322A3B" w:rsidRPr="00C3718E" w:rsidRDefault="00322A3B" w:rsidP="0056776E">
            <w:pPr>
              <w:rPr>
                <w:color w:val="000000"/>
              </w:rPr>
            </w:pPr>
            <w:proofErr w:type="spellStart"/>
            <w:r>
              <w:rPr>
                <w:color w:val="000000"/>
              </w:rPr>
              <w:t>Cheibub</w:t>
            </w:r>
            <w:proofErr w:type="spellEnd"/>
            <w:r>
              <w:rPr>
                <w:color w:val="000000"/>
              </w:rPr>
              <w:t xml:space="preserve"> </w:t>
            </w:r>
          </w:p>
        </w:tc>
      </w:tr>
      <w:tr w:rsidR="00322A3B" w:rsidTr="0056776E">
        <w:trPr>
          <w:jc w:val="center"/>
        </w:trPr>
        <w:tc>
          <w:tcPr>
            <w:tcW w:w="0" w:type="auto"/>
          </w:tcPr>
          <w:p w:rsidR="00322A3B" w:rsidRDefault="00322A3B" w:rsidP="005016AE">
            <w:pPr>
              <w:widowControl w:val="0"/>
              <w:autoSpaceDE w:val="0"/>
              <w:autoSpaceDN w:val="0"/>
              <w:adjustRightInd w:val="0"/>
            </w:pPr>
          </w:p>
        </w:tc>
        <w:tc>
          <w:tcPr>
            <w:tcW w:w="0" w:type="auto"/>
          </w:tcPr>
          <w:p w:rsidR="00322A3B" w:rsidRDefault="00322A3B" w:rsidP="00AD7107">
            <w:pPr>
              <w:widowControl w:val="0"/>
              <w:autoSpaceDE w:val="0"/>
              <w:autoSpaceDN w:val="0"/>
              <w:adjustRightInd w:val="0"/>
            </w:pPr>
            <w:r>
              <w:t>competition</w:t>
            </w:r>
          </w:p>
        </w:tc>
        <w:tc>
          <w:tcPr>
            <w:tcW w:w="0" w:type="auto"/>
            <w:vAlign w:val="bottom"/>
          </w:tcPr>
          <w:p w:rsidR="00322A3B" w:rsidRPr="00C3718E" w:rsidRDefault="00322A3B">
            <w:pPr>
              <w:jc w:val="right"/>
              <w:rPr>
                <w:color w:val="000000"/>
              </w:rPr>
            </w:pPr>
            <w:r>
              <w:rPr>
                <w:color w:val="000000"/>
              </w:rPr>
              <w:t>(</w:t>
            </w:r>
            <w:r w:rsidRPr="00C3718E">
              <w:rPr>
                <w:color w:val="000000"/>
              </w:rPr>
              <w:t>0.009</w:t>
            </w:r>
            <w:r>
              <w:rPr>
                <w:color w:val="000000"/>
              </w:rPr>
              <w:t>)</w:t>
            </w:r>
          </w:p>
        </w:tc>
        <w:tc>
          <w:tcPr>
            <w:tcW w:w="0" w:type="auto"/>
          </w:tcPr>
          <w:p w:rsidR="00322A3B" w:rsidRDefault="00322A3B" w:rsidP="0056776E">
            <w:pPr>
              <w:rPr>
                <w:color w:val="000000"/>
              </w:rPr>
            </w:pPr>
          </w:p>
        </w:tc>
      </w:tr>
      <w:tr w:rsidR="00322A3B" w:rsidTr="0056776E">
        <w:trPr>
          <w:jc w:val="center"/>
        </w:trPr>
        <w:tc>
          <w:tcPr>
            <w:tcW w:w="0" w:type="auto"/>
          </w:tcPr>
          <w:p w:rsidR="00322A3B" w:rsidRDefault="00322A3B" w:rsidP="005016AE">
            <w:pPr>
              <w:widowControl w:val="0"/>
              <w:autoSpaceDE w:val="0"/>
              <w:autoSpaceDN w:val="0"/>
              <w:adjustRightInd w:val="0"/>
            </w:pPr>
            <w:r>
              <w:t>Competition indicator</w:t>
            </w:r>
          </w:p>
        </w:tc>
        <w:tc>
          <w:tcPr>
            <w:tcW w:w="0" w:type="auto"/>
          </w:tcPr>
          <w:p w:rsidR="00322A3B" w:rsidRDefault="00322A3B" w:rsidP="00AD7107">
            <w:pPr>
              <w:widowControl w:val="0"/>
              <w:autoSpaceDE w:val="0"/>
              <w:autoSpaceDN w:val="0"/>
              <w:adjustRightInd w:val="0"/>
            </w:pPr>
            <w:r>
              <w:t>Political</w:t>
            </w:r>
          </w:p>
        </w:tc>
        <w:tc>
          <w:tcPr>
            <w:tcW w:w="0" w:type="auto"/>
            <w:vAlign w:val="bottom"/>
          </w:tcPr>
          <w:p w:rsidR="00322A3B" w:rsidRPr="00C3718E" w:rsidRDefault="00322A3B">
            <w:pPr>
              <w:jc w:val="right"/>
              <w:rPr>
                <w:color w:val="000000"/>
              </w:rPr>
            </w:pPr>
            <w:r w:rsidRPr="00C3718E">
              <w:rPr>
                <w:color w:val="000000"/>
              </w:rPr>
              <w:t>0.826</w:t>
            </w:r>
            <w:r>
              <w:t>***</w:t>
            </w:r>
          </w:p>
        </w:tc>
        <w:tc>
          <w:tcPr>
            <w:tcW w:w="0" w:type="auto"/>
          </w:tcPr>
          <w:p w:rsidR="00322A3B" w:rsidRPr="00C3718E" w:rsidRDefault="00322A3B" w:rsidP="0056776E">
            <w:pPr>
              <w:rPr>
                <w:color w:val="000000"/>
              </w:rPr>
            </w:pPr>
            <w:proofErr w:type="spellStart"/>
            <w:r>
              <w:rPr>
                <w:color w:val="000000"/>
              </w:rPr>
              <w:t>Vanhanen</w:t>
            </w:r>
            <w:proofErr w:type="spellEnd"/>
          </w:p>
        </w:tc>
      </w:tr>
      <w:tr w:rsidR="00322A3B" w:rsidTr="0056776E">
        <w:trPr>
          <w:jc w:val="center"/>
        </w:trPr>
        <w:tc>
          <w:tcPr>
            <w:tcW w:w="0" w:type="auto"/>
          </w:tcPr>
          <w:p w:rsidR="00322A3B" w:rsidRDefault="00322A3B" w:rsidP="005016AE">
            <w:pPr>
              <w:widowControl w:val="0"/>
              <w:autoSpaceDE w:val="0"/>
              <w:autoSpaceDN w:val="0"/>
              <w:adjustRightInd w:val="0"/>
            </w:pPr>
          </w:p>
        </w:tc>
        <w:tc>
          <w:tcPr>
            <w:tcW w:w="0" w:type="auto"/>
          </w:tcPr>
          <w:p w:rsidR="00322A3B" w:rsidRDefault="00322A3B" w:rsidP="00AD7107">
            <w:pPr>
              <w:widowControl w:val="0"/>
              <w:autoSpaceDE w:val="0"/>
              <w:autoSpaceDN w:val="0"/>
              <w:adjustRightInd w:val="0"/>
            </w:pPr>
            <w:r>
              <w:t>competition</w:t>
            </w:r>
          </w:p>
        </w:tc>
        <w:tc>
          <w:tcPr>
            <w:tcW w:w="0" w:type="auto"/>
            <w:vAlign w:val="bottom"/>
          </w:tcPr>
          <w:p w:rsidR="00322A3B" w:rsidRPr="00C3718E" w:rsidRDefault="00322A3B">
            <w:pPr>
              <w:jc w:val="right"/>
              <w:rPr>
                <w:color w:val="000000"/>
              </w:rPr>
            </w:pPr>
            <w:r>
              <w:rPr>
                <w:color w:val="000000"/>
              </w:rPr>
              <w:t>(</w:t>
            </w:r>
            <w:r w:rsidRPr="00C3718E">
              <w:rPr>
                <w:color w:val="000000"/>
              </w:rPr>
              <w:t>0.009</w:t>
            </w:r>
            <w:r>
              <w:rPr>
                <w:color w:val="000000"/>
              </w:rPr>
              <w:t>)</w:t>
            </w:r>
          </w:p>
        </w:tc>
        <w:tc>
          <w:tcPr>
            <w:tcW w:w="0" w:type="auto"/>
          </w:tcPr>
          <w:p w:rsidR="00322A3B" w:rsidRDefault="00322A3B" w:rsidP="0056776E">
            <w:pPr>
              <w:rPr>
                <w:color w:val="000000"/>
              </w:rPr>
            </w:pPr>
          </w:p>
        </w:tc>
      </w:tr>
      <w:tr w:rsidR="00322A3B" w:rsidTr="0056776E">
        <w:trPr>
          <w:jc w:val="center"/>
        </w:trPr>
        <w:tc>
          <w:tcPr>
            <w:tcW w:w="0" w:type="auto"/>
          </w:tcPr>
          <w:p w:rsidR="00322A3B" w:rsidRDefault="00322A3B" w:rsidP="005016AE">
            <w:pPr>
              <w:widowControl w:val="0"/>
              <w:autoSpaceDE w:val="0"/>
              <w:autoSpaceDN w:val="0"/>
              <w:adjustRightInd w:val="0"/>
            </w:pPr>
            <w:r>
              <w:t>C</w:t>
            </w:r>
            <w:r w:rsidRPr="00935C0C">
              <w:t>ompetitiveness of executive recruitment</w:t>
            </w:r>
          </w:p>
        </w:tc>
        <w:tc>
          <w:tcPr>
            <w:tcW w:w="0" w:type="auto"/>
          </w:tcPr>
          <w:p w:rsidR="00322A3B" w:rsidRDefault="00322A3B" w:rsidP="00AD7107">
            <w:pPr>
              <w:widowControl w:val="0"/>
              <w:autoSpaceDE w:val="0"/>
              <w:autoSpaceDN w:val="0"/>
              <w:adjustRightInd w:val="0"/>
            </w:pPr>
            <w:r>
              <w:t>Political</w:t>
            </w:r>
          </w:p>
        </w:tc>
        <w:tc>
          <w:tcPr>
            <w:tcW w:w="0" w:type="auto"/>
            <w:vAlign w:val="bottom"/>
          </w:tcPr>
          <w:p w:rsidR="00322A3B" w:rsidRPr="00C3718E" w:rsidRDefault="00322A3B">
            <w:pPr>
              <w:jc w:val="right"/>
              <w:rPr>
                <w:color w:val="000000"/>
              </w:rPr>
            </w:pPr>
            <w:r w:rsidRPr="00C3718E">
              <w:rPr>
                <w:color w:val="000000"/>
              </w:rPr>
              <w:t>0.885</w:t>
            </w:r>
            <w:r>
              <w:t>***</w:t>
            </w:r>
          </w:p>
        </w:tc>
        <w:tc>
          <w:tcPr>
            <w:tcW w:w="0" w:type="auto"/>
          </w:tcPr>
          <w:p w:rsidR="00322A3B" w:rsidRPr="00C3718E" w:rsidRDefault="00322A3B" w:rsidP="0056776E">
            <w:pPr>
              <w:rPr>
                <w:color w:val="000000"/>
              </w:rPr>
            </w:pPr>
            <w:r>
              <w:rPr>
                <w:color w:val="000000"/>
              </w:rPr>
              <w:t>Polity IV</w:t>
            </w:r>
          </w:p>
        </w:tc>
      </w:tr>
      <w:tr w:rsidR="00322A3B" w:rsidTr="0056776E">
        <w:trPr>
          <w:jc w:val="center"/>
        </w:trPr>
        <w:tc>
          <w:tcPr>
            <w:tcW w:w="0" w:type="auto"/>
          </w:tcPr>
          <w:p w:rsidR="00322A3B" w:rsidRDefault="00322A3B" w:rsidP="005016AE">
            <w:pPr>
              <w:widowControl w:val="0"/>
              <w:autoSpaceDE w:val="0"/>
              <w:autoSpaceDN w:val="0"/>
              <w:adjustRightInd w:val="0"/>
            </w:pPr>
          </w:p>
        </w:tc>
        <w:tc>
          <w:tcPr>
            <w:tcW w:w="0" w:type="auto"/>
          </w:tcPr>
          <w:p w:rsidR="00322A3B" w:rsidRDefault="00322A3B" w:rsidP="00AD7107">
            <w:pPr>
              <w:widowControl w:val="0"/>
              <w:autoSpaceDE w:val="0"/>
              <w:autoSpaceDN w:val="0"/>
              <w:adjustRightInd w:val="0"/>
            </w:pPr>
            <w:r>
              <w:t>competition</w:t>
            </w:r>
          </w:p>
        </w:tc>
        <w:tc>
          <w:tcPr>
            <w:tcW w:w="0" w:type="auto"/>
            <w:vAlign w:val="bottom"/>
          </w:tcPr>
          <w:p w:rsidR="00322A3B" w:rsidRPr="00C3718E" w:rsidRDefault="00322A3B">
            <w:pPr>
              <w:jc w:val="right"/>
              <w:rPr>
                <w:color w:val="000000"/>
              </w:rPr>
            </w:pPr>
            <w:r>
              <w:rPr>
                <w:color w:val="000000"/>
              </w:rPr>
              <w:t>(</w:t>
            </w:r>
            <w:r w:rsidRPr="00C3718E">
              <w:rPr>
                <w:color w:val="000000"/>
              </w:rPr>
              <w:t>0.006</w:t>
            </w:r>
            <w:r>
              <w:rPr>
                <w:color w:val="000000"/>
              </w:rPr>
              <w:t>)</w:t>
            </w:r>
          </w:p>
        </w:tc>
        <w:tc>
          <w:tcPr>
            <w:tcW w:w="0" w:type="auto"/>
          </w:tcPr>
          <w:p w:rsidR="00322A3B" w:rsidRDefault="00322A3B" w:rsidP="0056776E">
            <w:pPr>
              <w:rPr>
                <w:color w:val="000000"/>
              </w:rPr>
            </w:pPr>
          </w:p>
        </w:tc>
      </w:tr>
      <w:tr w:rsidR="00322A3B" w:rsidTr="0056776E">
        <w:trPr>
          <w:jc w:val="center"/>
        </w:trPr>
        <w:tc>
          <w:tcPr>
            <w:tcW w:w="0" w:type="auto"/>
          </w:tcPr>
          <w:p w:rsidR="00322A3B" w:rsidRDefault="00322A3B" w:rsidP="005016AE">
            <w:pPr>
              <w:widowControl w:val="0"/>
              <w:autoSpaceDE w:val="0"/>
              <w:autoSpaceDN w:val="0"/>
              <w:adjustRightInd w:val="0"/>
            </w:pPr>
            <w:r>
              <w:t>O</w:t>
            </w:r>
            <w:r w:rsidRPr="00935C0C">
              <w:t>penness of executive recruitment</w:t>
            </w:r>
          </w:p>
        </w:tc>
        <w:tc>
          <w:tcPr>
            <w:tcW w:w="0" w:type="auto"/>
          </w:tcPr>
          <w:p w:rsidR="00322A3B" w:rsidRDefault="00322A3B" w:rsidP="00AD7107">
            <w:pPr>
              <w:widowControl w:val="0"/>
              <w:autoSpaceDE w:val="0"/>
              <w:autoSpaceDN w:val="0"/>
              <w:adjustRightInd w:val="0"/>
            </w:pPr>
            <w:r>
              <w:t>Political</w:t>
            </w:r>
          </w:p>
        </w:tc>
        <w:tc>
          <w:tcPr>
            <w:tcW w:w="0" w:type="auto"/>
            <w:vAlign w:val="bottom"/>
          </w:tcPr>
          <w:p w:rsidR="00322A3B" w:rsidRPr="00C3718E" w:rsidRDefault="00322A3B">
            <w:pPr>
              <w:jc w:val="right"/>
              <w:rPr>
                <w:color w:val="000000"/>
              </w:rPr>
            </w:pPr>
            <w:r w:rsidRPr="00C3718E">
              <w:rPr>
                <w:color w:val="000000"/>
              </w:rPr>
              <w:t>0.496</w:t>
            </w:r>
            <w:r>
              <w:t>***</w:t>
            </w:r>
          </w:p>
        </w:tc>
        <w:tc>
          <w:tcPr>
            <w:tcW w:w="0" w:type="auto"/>
          </w:tcPr>
          <w:p w:rsidR="00322A3B" w:rsidRPr="00C3718E" w:rsidRDefault="00322A3B" w:rsidP="0056776E">
            <w:pPr>
              <w:rPr>
                <w:color w:val="000000"/>
              </w:rPr>
            </w:pPr>
            <w:r>
              <w:rPr>
                <w:color w:val="000000"/>
              </w:rPr>
              <w:t>Polity IV</w:t>
            </w:r>
          </w:p>
        </w:tc>
      </w:tr>
      <w:tr w:rsidR="00322A3B" w:rsidTr="0056776E">
        <w:trPr>
          <w:jc w:val="center"/>
        </w:trPr>
        <w:tc>
          <w:tcPr>
            <w:tcW w:w="0" w:type="auto"/>
          </w:tcPr>
          <w:p w:rsidR="00322A3B" w:rsidRDefault="00322A3B" w:rsidP="005016AE">
            <w:pPr>
              <w:widowControl w:val="0"/>
              <w:autoSpaceDE w:val="0"/>
              <w:autoSpaceDN w:val="0"/>
              <w:adjustRightInd w:val="0"/>
            </w:pPr>
          </w:p>
        </w:tc>
        <w:tc>
          <w:tcPr>
            <w:tcW w:w="0" w:type="auto"/>
          </w:tcPr>
          <w:p w:rsidR="00322A3B" w:rsidRDefault="00322A3B" w:rsidP="00AD7107">
            <w:pPr>
              <w:widowControl w:val="0"/>
              <w:autoSpaceDE w:val="0"/>
              <w:autoSpaceDN w:val="0"/>
              <w:adjustRightInd w:val="0"/>
            </w:pPr>
            <w:r>
              <w:t>competition</w:t>
            </w:r>
          </w:p>
        </w:tc>
        <w:tc>
          <w:tcPr>
            <w:tcW w:w="0" w:type="auto"/>
            <w:vAlign w:val="bottom"/>
          </w:tcPr>
          <w:p w:rsidR="00322A3B" w:rsidRPr="00C3718E" w:rsidRDefault="00322A3B">
            <w:pPr>
              <w:jc w:val="right"/>
              <w:rPr>
                <w:color w:val="000000"/>
              </w:rPr>
            </w:pPr>
            <w:r>
              <w:rPr>
                <w:color w:val="000000"/>
              </w:rPr>
              <w:t>(</w:t>
            </w:r>
            <w:r w:rsidRPr="00C3718E">
              <w:rPr>
                <w:color w:val="000000"/>
              </w:rPr>
              <w:t>0.020</w:t>
            </w:r>
            <w:r>
              <w:rPr>
                <w:color w:val="000000"/>
              </w:rPr>
              <w:t>)</w:t>
            </w:r>
          </w:p>
        </w:tc>
        <w:tc>
          <w:tcPr>
            <w:tcW w:w="0" w:type="auto"/>
          </w:tcPr>
          <w:p w:rsidR="00322A3B" w:rsidRDefault="00322A3B" w:rsidP="0056776E">
            <w:pPr>
              <w:rPr>
                <w:color w:val="000000"/>
              </w:rPr>
            </w:pPr>
          </w:p>
        </w:tc>
      </w:tr>
      <w:tr w:rsidR="0056776E" w:rsidTr="0056776E">
        <w:trPr>
          <w:jc w:val="center"/>
        </w:trPr>
        <w:tc>
          <w:tcPr>
            <w:tcW w:w="0" w:type="auto"/>
          </w:tcPr>
          <w:p w:rsidR="0056776E" w:rsidRDefault="0056776E" w:rsidP="00935C0C">
            <w:pPr>
              <w:widowControl w:val="0"/>
              <w:autoSpaceDE w:val="0"/>
              <w:autoSpaceDN w:val="0"/>
              <w:adjustRightInd w:val="0"/>
            </w:pPr>
            <w:r>
              <w:t>Suffrage</w:t>
            </w:r>
          </w:p>
        </w:tc>
        <w:tc>
          <w:tcPr>
            <w:tcW w:w="0" w:type="auto"/>
          </w:tcPr>
          <w:p w:rsidR="0056776E" w:rsidRDefault="0056776E" w:rsidP="005016AE">
            <w:pPr>
              <w:widowControl w:val="0"/>
              <w:autoSpaceDE w:val="0"/>
              <w:autoSpaceDN w:val="0"/>
              <w:adjustRightInd w:val="0"/>
            </w:pPr>
            <w:r>
              <w:t>Inclusiveness</w:t>
            </w:r>
          </w:p>
        </w:tc>
        <w:tc>
          <w:tcPr>
            <w:tcW w:w="0" w:type="auto"/>
            <w:vAlign w:val="bottom"/>
          </w:tcPr>
          <w:p w:rsidR="0056776E" w:rsidRPr="00C3718E" w:rsidRDefault="0056776E">
            <w:pPr>
              <w:jc w:val="right"/>
              <w:rPr>
                <w:color w:val="000000"/>
              </w:rPr>
            </w:pPr>
            <w:r w:rsidRPr="00C3718E">
              <w:rPr>
                <w:color w:val="000000"/>
              </w:rPr>
              <w:t>0.803</w:t>
            </w:r>
            <w:r>
              <w:t>***</w:t>
            </w:r>
          </w:p>
        </w:tc>
        <w:tc>
          <w:tcPr>
            <w:tcW w:w="0" w:type="auto"/>
          </w:tcPr>
          <w:p w:rsidR="0056776E" w:rsidRPr="00C3718E" w:rsidRDefault="0056776E" w:rsidP="0056776E">
            <w:pPr>
              <w:rPr>
                <w:color w:val="000000"/>
              </w:rPr>
            </w:pPr>
            <w:r>
              <w:rPr>
                <w:color w:val="000000"/>
              </w:rPr>
              <w:t>IDEA</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0.014</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W</w:t>
            </w:r>
            <w:r w:rsidRPr="00935C0C">
              <w:t>omen's political rights</w:t>
            </w:r>
          </w:p>
        </w:tc>
        <w:tc>
          <w:tcPr>
            <w:tcW w:w="0" w:type="auto"/>
          </w:tcPr>
          <w:p w:rsidR="0056776E" w:rsidRDefault="0056776E" w:rsidP="005016AE">
            <w:pPr>
              <w:widowControl w:val="0"/>
              <w:autoSpaceDE w:val="0"/>
              <w:autoSpaceDN w:val="0"/>
              <w:adjustRightInd w:val="0"/>
            </w:pPr>
            <w:r>
              <w:t>Inclusiveness</w:t>
            </w:r>
          </w:p>
        </w:tc>
        <w:tc>
          <w:tcPr>
            <w:tcW w:w="0" w:type="auto"/>
            <w:vAlign w:val="bottom"/>
          </w:tcPr>
          <w:p w:rsidR="0056776E" w:rsidRPr="00C3718E" w:rsidRDefault="0056776E">
            <w:pPr>
              <w:jc w:val="right"/>
              <w:rPr>
                <w:color w:val="000000"/>
              </w:rPr>
            </w:pPr>
            <w:r w:rsidRPr="00C3718E">
              <w:rPr>
                <w:color w:val="000000"/>
              </w:rPr>
              <w:t>0.512</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0.022</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Participation</w:t>
            </w:r>
            <w:r w:rsidR="00B51DF6">
              <w:t xml:space="preserve"> indicator</w:t>
            </w:r>
          </w:p>
        </w:tc>
        <w:tc>
          <w:tcPr>
            <w:tcW w:w="0" w:type="auto"/>
          </w:tcPr>
          <w:p w:rsidR="0056776E" w:rsidRDefault="0056776E" w:rsidP="005016AE">
            <w:pPr>
              <w:widowControl w:val="0"/>
              <w:autoSpaceDE w:val="0"/>
              <w:autoSpaceDN w:val="0"/>
              <w:adjustRightInd w:val="0"/>
            </w:pPr>
            <w:r>
              <w:t>Inclusiveness</w:t>
            </w:r>
          </w:p>
        </w:tc>
        <w:tc>
          <w:tcPr>
            <w:tcW w:w="0" w:type="auto"/>
            <w:vAlign w:val="bottom"/>
          </w:tcPr>
          <w:p w:rsidR="0056776E" w:rsidRPr="00C3718E" w:rsidRDefault="0056776E">
            <w:pPr>
              <w:jc w:val="right"/>
              <w:rPr>
                <w:color w:val="000000"/>
              </w:rPr>
            </w:pPr>
            <w:r w:rsidRPr="00C3718E">
              <w:rPr>
                <w:color w:val="000000"/>
              </w:rPr>
              <w:t>0.752</w:t>
            </w:r>
            <w:r>
              <w:t>***</w:t>
            </w:r>
          </w:p>
        </w:tc>
        <w:tc>
          <w:tcPr>
            <w:tcW w:w="0" w:type="auto"/>
          </w:tcPr>
          <w:p w:rsidR="0056776E" w:rsidRPr="00C3718E" w:rsidRDefault="0056776E" w:rsidP="0056776E">
            <w:pPr>
              <w:rPr>
                <w:color w:val="000000"/>
              </w:rPr>
            </w:pPr>
            <w:proofErr w:type="spellStart"/>
            <w:r>
              <w:rPr>
                <w:color w:val="000000"/>
              </w:rPr>
              <w:t>Vanhanen</w:t>
            </w:r>
            <w:proofErr w:type="spellEnd"/>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0.016</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W</w:t>
            </w:r>
            <w:r w:rsidRPr="00935C0C">
              <w:t>omen's economic rights</w:t>
            </w:r>
          </w:p>
        </w:tc>
        <w:tc>
          <w:tcPr>
            <w:tcW w:w="0" w:type="auto"/>
          </w:tcPr>
          <w:p w:rsidR="0056776E" w:rsidRDefault="0056776E" w:rsidP="005016AE">
            <w:pPr>
              <w:widowControl w:val="0"/>
              <w:autoSpaceDE w:val="0"/>
              <w:autoSpaceDN w:val="0"/>
              <w:adjustRightInd w:val="0"/>
            </w:pPr>
            <w:r>
              <w:t>Inclusiveness</w:t>
            </w:r>
          </w:p>
        </w:tc>
        <w:tc>
          <w:tcPr>
            <w:tcW w:w="0" w:type="auto"/>
            <w:vAlign w:val="bottom"/>
          </w:tcPr>
          <w:p w:rsidR="0056776E" w:rsidRPr="00C3718E" w:rsidRDefault="0056776E">
            <w:pPr>
              <w:jc w:val="right"/>
              <w:rPr>
                <w:color w:val="000000"/>
              </w:rPr>
            </w:pPr>
            <w:r w:rsidRPr="00C3718E">
              <w:rPr>
                <w:color w:val="000000"/>
              </w:rPr>
              <w:t>0.649</w:t>
            </w:r>
            <w:r>
              <w:t>***</w:t>
            </w:r>
          </w:p>
        </w:tc>
        <w:tc>
          <w:tcPr>
            <w:tcW w:w="0" w:type="auto"/>
          </w:tcPr>
          <w:p w:rsidR="0056776E" w:rsidRPr="00C3718E" w:rsidRDefault="0056776E" w:rsidP="0056776E">
            <w:pPr>
              <w:rPr>
                <w:color w:val="000000"/>
              </w:rPr>
            </w:pPr>
            <w:r>
              <w:rPr>
                <w:color w:val="000000"/>
              </w:rPr>
              <w:t>CIRI</w:t>
            </w:r>
          </w:p>
        </w:tc>
      </w:tr>
      <w:tr w:rsidR="0056776E" w:rsidTr="0056776E">
        <w:trPr>
          <w:jc w:val="center"/>
        </w:trPr>
        <w:tc>
          <w:tcPr>
            <w:tcW w:w="0" w:type="auto"/>
          </w:tcPr>
          <w:p w:rsidR="0056776E" w:rsidRDefault="0056776E" w:rsidP="005016AE">
            <w:pPr>
              <w:widowControl w:val="0"/>
              <w:autoSpaceDE w:val="0"/>
              <w:autoSpaceDN w:val="0"/>
              <w:adjustRightInd w:val="0"/>
            </w:pPr>
          </w:p>
        </w:tc>
        <w:tc>
          <w:tcPr>
            <w:tcW w:w="0" w:type="auto"/>
          </w:tcPr>
          <w:p w:rsidR="0056776E" w:rsidRDefault="0056776E" w:rsidP="005016AE">
            <w:pPr>
              <w:widowControl w:val="0"/>
              <w:autoSpaceDE w:val="0"/>
              <w:autoSpaceDN w:val="0"/>
              <w:adjustRightInd w:val="0"/>
            </w:pPr>
          </w:p>
        </w:tc>
        <w:tc>
          <w:tcPr>
            <w:tcW w:w="0" w:type="auto"/>
            <w:vAlign w:val="bottom"/>
          </w:tcPr>
          <w:p w:rsidR="0056776E" w:rsidRPr="00C3718E" w:rsidRDefault="0056776E">
            <w:pPr>
              <w:jc w:val="right"/>
              <w:rPr>
                <w:color w:val="000000"/>
              </w:rPr>
            </w:pPr>
            <w:r>
              <w:rPr>
                <w:color w:val="000000"/>
              </w:rPr>
              <w:t>(</w:t>
            </w:r>
            <w:r w:rsidRPr="00C3718E">
              <w:rPr>
                <w:color w:val="000000"/>
              </w:rPr>
              <w:t>0.019</w:t>
            </w:r>
            <w:r>
              <w:rPr>
                <w:color w:val="000000"/>
              </w:rPr>
              <w:t>)</w:t>
            </w:r>
          </w:p>
        </w:tc>
        <w:tc>
          <w:tcPr>
            <w:tcW w:w="0" w:type="auto"/>
          </w:tcPr>
          <w:p w:rsidR="0056776E" w:rsidRDefault="0056776E" w:rsidP="0056776E">
            <w:pPr>
              <w:rPr>
                <w:color w:val="000000"/>
              </w:rPr>
            </w:pPr>
          </w:p>
        </w:tc>
      </w:tr>
      <w:tr w:rsidR="0056776E" w:rsidTr="0056776E">
        <w:trPr>
          <w:jc w:val="center"/>
        </w:trPr>
        <w:tc>
          <w:tcPr>
            <w:tcW w:w="0" w:type="auto"/>
          </w:tcPr>
          <w:p w:rsidR="0056776E" w:rsidRDefault="0056776E" w:rsidP="005016AE">
            <w:pPr>
              <w:widowControl w:val="0"/>
              <w:autoSpaceDE w:val="0"/>
              <w:autoSpaceDN w:val="0"/>
              <w:adjustRightInd w:val="0"/>
            </w:pPr>
            <w:r>
              <w:t>W</w:t>
            </w:r>
            <w:r w:rsidRPr="00935C0C">
              <w:t>omen's social rights</w:t>
            </w:r>
          </w:p>
        </w:tc>
        <w:tc>
          <w:tcPr>
            <w:tcW w:w="0" w:type="auto"/>
          </w:tcPr>
          <w:p w:rsidR="0056776E" w:rsidRDefault="0056776E" w:rsidP="005016AE">
            <w:pPr>
              <w:widowControl w:val="0"/>
              <w:autoSpaceDE w:val="0"/>
              <w:autoSpaceDN w:val="0"/>
              <w:adjustRightInd w:val="0"/>
            </w:pPr>
            <w:r>
              <w:t>Inclusiveness</w:t>
            </w:r>
          </w:p>
        </w:tc>
        <w:tc>
          <w:tcPr>
            <w:tcW w:w="0" w:type="auto"/>
            <w:vAlign w:val="bottom"/>
          </w:tcPr>
          <w:p w:rsidR="0056776E" w:rsidRPr="00C3718E" w:rsidRDefault="0056776E">
            <w:pPr>
              <w:jc w:val="right"/>
              <w:rPr>
                <w:color w:val="000000"/>
              </w:rPr>
            </w:pPr>
            <w:r w:rsidRPr="00C3718E">
              <w:rPr>
                <w:color w:val="000000"/>
              </w:rPr>
              <w:t>0.770</w:t>
            </w:r>
            <w:r>
              <w:t>***</w:t>
            </w:r>
          </w:p>
        </w:tc>
        <w:tc>
          <w:tcPr>
            <w:tcW w:w="0" w:type="auto"/>
          </w:tcPr>
          <w:p w:rsidR="0056776E" w:rsidRPr="00C3718E" w:rsidRDefault="0056776E" w:rsidP="0056776E">
            <w:pPr>
              <w:rPr>
                <w:color w:val="000000"/>
              </w:rPr>
            </w:pPr>
            <w:r>
              <w:rPr>
                <w:color w:val="000000"/>
              </w:rPr>
              <w:t>CIRI</w:t>
            </w:r>
          </w:p>
        </w:tc>
      </w:tr>
      <w:tr w:rsidR="0056776E" w:rsidTr="001F7E6D">
        <w:trPr>
          <w:jc w:val="center"/>
        </w:trPr>
        <w:tc>
          <w:tcPr>
            <w:tcW w:w="0" w:type="auto"/>
            <w:tcBorders>
              <w:bottom w:val="single" w:sz="6" w:space="0" w:color="auto"/>
            </w:tcBorders>
          </w:tcPr>
          <w:p w:rsidR="0056776E" w:rsidRDefault="0056776E" w:rsidP="005016AE">
            <w:pPr>
              <w:widowControl w:val="0"/>
              <w:autoSpaceDE w:val="0"/>
              <w:autoSpaceDN w:val="0"/>
              <w:adjustRightInd w:val="0"/>
            </w:pPr>
          </w:p>
        </w:tc>
        <w:tc>
          <w:tcPr>
            <w:tcW w:w="0" w:type="auto"/>
            <w:tcBorders>
              <w:bottom w:val="single" w:sz="6" w:space="0" w:color="auto"/>
            </w:tcBorders>
          </w:tcPr>
          <w:p w:rsidR="0056776E" w:rsidRDefault="0056776E" w:rsidP="005016AE">
            <w:pPr>
              <w:widowControl w:val="0"/>
              <w:autoSpaceDE w:val="0"/>
              <w:autoSpaceDN w:val="0"/>
              <w:adjustRightInd w:val="0"/>
            </w:pPr>
          </w:p>
        </w:tc>
        <w:tc>
          <w:tcPr>
            <w:tcW w:w="0" w:type="auto"/>
            <w:tcBorders>
              <w:bottom w:val="single" w:sz="6" w:space="0" w:color="auto"/>
            </w:tcBorders>
            <w:vAlign w:val="bottom"/>
          </w:tcPr>
          <w:p w:rsidR="0056776E" w:rsidRPr="00C3718E" w:rsidRDefault="0056776E">
            <w:pPr>
              <w:jc w:val="right"/>
              <w:rPr>
                <w:color w:val="000000"/>
              </w:rPr>
            </w:pPr>
            <w:r>
              <w:rPr>
                <w:color w:val="000000"/>
              </w:rPr>
              <w:t>(</w:t>
            </w:r>
            <w:r w:rsidRPr="00C3718E">
              <w:rPr>
                <w:color w:val="000000"/>
              </w:rPr>
              <w:t>0.014</w:t>
            </w:r>
            <w:r>
              <w:rPr>
                <w:color w:val="000000"/>
              </w:rPr>
              <w:t>)</w:t>
            </w:r>
          </w:p>
        </w:tc>
        <w:tc>
          <w:tcPr>
            <w:tcW w:w="0" w:type="auto"/>
            <w:tcBorders>
              <w:bottom w:val="single" w:sz="6" w:space="0" w:color="auto"/>
            </w:tcBorders>
          </w:tcPr>
          <w:p w:rsidR="0056776E" w:rsidRDefault="0056776E" w:rsidP="0056776E">
            <w:pPr>
              <w:rPr>
                <w:color w:val="000000"/>
              </w:rPr>
            </w:pPr>
          </w:p>
        </w:tc>
      </w:tr>
      <w:tr w:rsidR="001F7E6D" w:rsidTr="00F94833">
        <w:trPr>
          <w:jc w:val="center"/>
        </w:trPr>
        <w:tc>
          <w:tcPr>
            <w:tcW w:w="0" w:type="auto"/>
            <w:tcBorders>
              <w:top w:val="single" w:sz="6" w:space="0" w:color="auto"/>
              <w:bottom w:val="nil"/>
            </w:tcBorders>
          </w:tcPr>
          <w:p w:rsidR="001F7E6D" w:rsidRDefault="001F7E6D" w:rsidP="005016AE">
            <w:pPr>
              <w:widowControl w:val="0"/>
              <w:autoSpaceDE w:val="0"/>
              <w:autoSpaceDN w:val="0"/>
              <w:adjustRightInd w:val="0"/>
            </w:pPr>
            <w:r>
              <w:t>N</w:t>
            </w:r>
          </w:p>
        </w:tc>
        <w:tc>
          <w:tcPr>
            <w:tcW w:w="0" w:type="auto"/>
            <w:tcBorders>
              <w:top w:val="single" w:sz="6" w:space="0" w:color="auto"/>
              <w:bottom w:val="nil"/>
            </w:tcBorders>
          </w:tcPr>
          <w:p w:rsidR="001F7E6D" w:rsidRDefault="001F7E6D" w:rsidP="005016AE">
            <w:pPr>
              <w:widowControl w:val="0"/>
              <w:autoSpaceDE w:val="0"/>
              <w:autoSpaceDN w:val="0"/>
              <w:adjustRightInd w:val="0"/>
            </w:pPr>
            <w:r>
              <w:t>1505</w:t>
            </w:r>
          </w:p>
        </w:tc>
        <w:tc>
          <w:tcPr>
            <w:tcW w:w="0" w:type="auto"/>
            <w:tcBorders>
              <w:top w:val="single" w:sz="6" w:space="0" w:color="auto"/>
              <w:bottom w:val="nil"/>
            </w:tcBorders>
            <w:vAlign w:val="bottom"/>
          </w:tcPr>
          <w:p w:rsidR="001F7E6D" w:rsidRDefault="001F7E6D">
            <w:pPr>
              <w:jc w:val="right"/>
              <w:rPr>
                <w:color w:val="000000"/>
              </w:rPr>
            </w:pPr>
          </w:p>
        </w:tc>
        <w:tc>
          <w:tcPr>
            <w:tcW w:w="0" w:type="auto"/>
            <w:tcBorders>
              <w:top w:val="single" w:sz="6" w:space="0" w:color="auto"/>
              <w:bottom w:val="nil"/>
            </w:tcBorders>
          </w:tcPr>
          <w:p w:rsidR="001F7E6D" w:rsidRDefault="001F7E6D" w:rsidP="0056776E">
            <w:pPr>
              <w:rPr>
                <w:color w:val="000000"/>
              </w:rPr>
            </w:pPr>
          </w:p>
        </w:tc>
      </w:tr>
      <w:tr w:rsidR="00F94833" w:rsidTr="00F94833">
        <w:trPr>
          <w:jc w:val="center"/>
        </w:trPr>
        <w:tc>
          <w:tcPr>
            <w:tcW w:w="0" w:type="auto"/>
            <w:tcBorders>
              <w:top w:val="nil"/>
              <w:bottom w:val="nil"/>
            </w:tcBorders>
          </w:tcPr>
          <w:p w:rsidR="00F94833" w:rsidRDefault="00F94833" w:rsidP="005016AE">
            <w:pPr>
              <w:widowControl w:val="0"/>
              <w:autoSpaceDE w:val="0"/>
              <w:autoSpaceDN w:val="0"/>
              <w:adjustRightInd w:val="0"/>
            </w:pPr>
            <w:r>
              <w:t>Countries included</w:t>
            </w:r>
          </w:p>
        </w:tc>
        <w:tc>
          <w:tcPr>
            <w:tcW w:w="0" w:type="auto"/>
            <w:tcBorders>
              <w:top w:val="nil"/>
              <w:bottom w:val="nil"/>
            </w:tcBorders>
          </w:tcPr>
          <w:p w:rsidR="00F94833" w:rsidRDefault="00F94833" w:rsidP="005016AE">
            <w:pPr>
              <w:widowControl w:val="0"/>
              <w:autoSpaceDE w:val="0"/>
              <w:autoSpaceDN w:val="0"/>
              <w:adjustRightInd w:val="0"/>
            </w:pPr>
            <w:r>
              <w:t>149</w:t>
            </w:r>
          </w:p>
        </w:tc>
        <w:tc>
          <w:tcPr>
            <w:tcW w:w="0" w:type="auto"/>
            <w:tcBorders>
              <w:top w:val="nil"/>
              <w:bottom w:val="nil"/>
            </w:tcBorders>
            <w:vAlign w:val="bottom"/>
          </w:tcPr>
          <w:p w:rsidR="00F94833" w:rsidRDefault="00F94833">
            <w:pPr>
              <w:jc w:val="right"/>
              <w:rPr>
                <w:color w:val="000000"/>
              </w:rPr>
            </w:pPr>
          </w:p>
        </w:tc>
        <w:tc>
          <w:tcPr>
            <w:tcW w:w="0" w:type="auto"/>
            <w:tcBorders>
              <w:top w:val="nil"/>
              <w:bottom w:val="nil"/>
            </w:tcBorders>
          </w:tcPr>
          <w:p w:rsidR="00F94833" w:rsidRDefault="00F94833" w:rsidP="0056776E">
            <w:pPr>
              <w:rPr>
                <w:color w:val="000000"/>
              </w:rPr>
            </w:pPr>
          </w:p>
        </w:tc>
      </w:tr>
      <w:tr w:rsidR="001F7E6D" w:rsidTr="001F7E6D">
        <w:trPr>
          <w:jc w:val="center"/>
        </w:trPr>
        <w:tc>
          <w:tcPr>
            <w:tcW w:w="0" w:type="auto"/>
            <w:tcBorders>
              <w:top w:val="nil"/>
              <w:bottom w:val="nil"/>
            </w:tcBorders>
          </w:tcPr>
          <w:p w:rsidR="001F7E6D" w:rsidRDefault="001F7E6D" w:rsidP="005016AE">
            <w:pPr>
              <w:widowControl w:val="0"/>
              <w:autoSpaceDE w:val="0"/>
              <w:autoSpaceDN w:val="0"/>
              <w:adjustRightInd w:val="0"/>
            </w:pPr>
            <w:r>
              <w:t>CFI</w:t>
            </w:r>
          </w:p>
        </w:tc>
        <w:tc>
          <w:tcPr>
            <w:tcW w:w="0" w:type="auto"/>
            <w:tcBorders>
              <w:top w:val="nil"/>
              <w:bottom w:val="nil"/>
            </w:tcBorders>
          </w:tcPr>
          <w:p w:rsidR="001F7E6D" w:rsidRDefault="001F7E6D" w:rsidP="005016AE">
            <w:pPr>
              <w:widowControl w:val="0"/>
              <w:autoSpaceDE w:val="0"/>
              <w:autoSpaceDN w:val="0"/>
              <w:adjustRightInd w:val="0"/>
            </w:pPr>
            <w:r>
              <w:t>0.930</w:t>
            </w:r>
          </w:p>
        </w:tc>
        <w:tc>
          <w:tcPr>
            <w:tcW w:w="0" w:type="auto"/>
            <w:tcBorders>
              <w:top w:val="nil"/>
              <w:bottom w:val="nil"/>
            </w:tcBorders>
            <w:vAlign w:val="bottom"/>
          </w:tcPr>
          <w:p w:rsidR="001F7E6D" w:rsidRDefault="001F7E6D">
            <w:pPr>
              <w:jc w:val="right"/>
              <w:rPr>
                <w:color w:val="000000"/>
              </w:rPr>
            </w:pPr>
          </w:p>
        </w:tc>
        <w:tc>
          <w:tcPr>
            <w:tcW w:w="0" w:type="auto"/>
            <w:tcBorders>
              <w:top w:val="nil"/>
              <w:bottom w:val="nil"/>
            </w:tcBorders>
          </w:tcPr>
          <w:p w:rsidR="001F7E6D" w:rsidRDefault="001F7E6D" w:rsidP="0056776E">
            <w:pPr>
              <w:rPr>
                <w:color w:val="000000"/>
              </w:rPr>
            </w:pPr>
          </w:p>
        </w:tc>
      </w:tr>
      <w:tr w:rsidR="001F7E6D" w:rsidTr="001F7E6D">
        <w:trPr>
          <w:jc w:val="center"/>
        </w:trPr>
        <w:tc>
          <w:tcPr>
            <w:tcW w:w="0" w:type="auto"/>
            <w:tcBorders>
              <w:top w:val="nil"/>
              <w:bottom w:val="nil"/>
            </w:tcBorders>
          </w:tcPr>
          <w:p w:rsidR="001F7E6D" w:rsidRDefault="001F7E6D" w:rsidP="005016AE">
            <w:pPr>
              <w:widowControl w:val="0"/>
              <w:autoSpaceDE w:val="0"/>
              <w:autoSpaceDN w:val="0"/>
              <w:adjustRightInd w:val="0"/>
            </w:pPr>
            <w:r>
              <w:t>RMSEA</w:t>
            </w:r>
          </w:p>
        </w:tc>
        <w:tc>
          <w:tcPr>
            <w:tcW w:w="0" w:type="auto"/>
            <w:tcBorders>
              <w:top w:val="nil"/>
              <w:bottom w:val="nil"/>
            </w:tcBorders>
          </w:tcPr>
          <w:p w:rsidR="001F7E6D" w:rsidRDefault="001F7E6D" w:rsidP="005016AE">
            <w:pPr>
              <w:widowControl w:val="0"/>
              <w:autoSpaceDE w:val="0"/>
              <w:autoSpaceDN w:val="0"/>
              <w:adjustRightInd w:val="0"/>
            </w:pPr>
            <w:r>
              <w:t>0.091</w:t>
            </w:r>
          </w:p>
        </w:tc>
        <w:tc>
          <w:tcPr>
            <w:tcW w:w="0" w:type="auto"/>
            <w:tcBorders>
              <w:top w:val="nil"/>
              <w:bottom w:val="nil"/>
            </w:tcBorders>
            <w:vAlign w:val="bottom"/>
          </w:tcPr>
          <w:p w:rsidR="001F7E6D" w:rsidRDefault="001F7E6D">
            <w:pPr>
              <w:jc w:val="right"/>
              <w:rPr>
                <w:color w:val="000000"/>
              </w:rPr>
            </w:pPr>
          </w:p>
        </w:tc>
        <w:tc>
          <w:tcPr>
            <w:tcW w:w="0" w:type="auto"/>
            <w:tcBorders>
              <w:top w:val="nil"/>
              <w:bottom w:val="nil"/>
            </w:tcBorders>
          </w:tcPr>
          <w:p w:rsidR="001F7E6D" w:rsidRDefault="001F7E6D" w:rsidP="0056776E">
            <w:pPr>
              <w:rPr>
                <w:color w:val="000000"/>
              </w:rPr>
            </w:pPr>
          </w:p>
        </w:tc>
      </w:tr>
      <w:tr w:rsidR="001F7E6D" w:rsidTr="001F7E6D">
        <w:trPr>
          <w:jc w:val="center"/>
        </w:trPr>
        <w:tc>
          <w:tcPr>
            <w:tcW w:w="0" w:type="auto"/>
            <w:tcBorders>
              <w:top w:val="nil"/>
              <w:bottom w:val="single" w:sz="6" w:space="0" w:color="auto"/>
            </w:tcBorders>
          </w:tcPr>
          <w:p w:rsidR="001F7E6D" w:rsidRDefault="001F7E6D" w:rsidP="005016AE">
            <w:pPr>
              <w:widowControl w:val="0"/>
              <w:autoSpaceDE w:val="0"/>
              <w:autoSpaceDN w:val="0"/>
              <w:adjustRightInd w:val="0"/>
            </w:pPr>
            <w:r>
              <w:t>CD</w:t>
            </w:r>
          </w:p>
        </w:tc>
        <w:tc>
          <w:tcPr>
            <w:tcW w:w="0" w:type="auto"/>
            <w:tcBorders>
              <w:top w:val="nil"/>
              <w:bottom w:val="single" w:sz="6" w:space="0" w:color="auto"/>
            </w:tcBorders>
          </w:tcPr>
          <w:p w:rsidR="001F7E6D" w:rsidRDefault="001F7E6D" w:rsidP="005016AE">
            <w:pPr>
              <w:widowControl w:val="0"/>
              <w:autoSpaceDE w:val="0"/>
              <w:autoSpaceDN w:val="0"/>
              <w:adjustRightInd w:val="0"/>
            </w:pPr>
            <w:r>
              <w:t>0.997</w:t>
            </w:r>
          </w:p>
        </w:tc>
        <w:tc>
          <w:tcPr>
            <w:tcW w:w="0" w:type="auto"/>
            <w:tcBorders>
              <w:top w:val="nil"/>
              <w:bottom w:val="single" w:sz="6" w:space="0" w:color="auto"/>
            </w:tcBorders>
            <w:vAlign w:val="bottom"/>
          </w:tcPr>
          <w:p w:rsidR="001F7E6D" w:rsidRDefault="001F7E6D">
            <w:pPr>
              <w:jc w:val="right"/>
              <w:rPr>
                <w:color w:val="000000"/>
              </w:rPr>
            </w:pPr>
          </w:p>
        </w:tc>
        <w:tc>
          <w:tcPr>
            <w:tcW w:w="0" w:type="auto"/>
            <w:tcBorders>
              <w:top w:val="nil"/>
              <w:bottom w:val="single" w:sz="6" w:space="0" w:color="auto"/>
            </w:tcBorders>
          </w:tcPr>
          <w:p w:rsidR="001F7E6D" w:rsidRDefault="001F7E6D" w:rsidP="0056776E">
            <w:pPr>
              <w:rPr>
                <w:color w:val="000000"/>
              </w:rPr>
            </w:pPr>
          </w:p>
        </w:tc>
      </w:tr>
    </w:tbl>
    <w:p w:rsidR="00666E6E" w:rsidRPr="00A60CE7" w:rsidRDefault="00666E6E" w:rsidP="00666E6E">
      <w:pPr>
        <w:pStyle w:val="Body"/>
        <w:spacing w:after="0"/>
        <w:ind w:firstLine="720"/>
        <w:rPr>
          <w:rFonts w:ascii="Times New Roman" w:eastAsia="Times New Roman" w:hAnsi="Times New Roman" w:cs="Times New Roman"/>
          <w:sz w:val="24"/>
          <w:szCs w:val="24"/>
        </w:rPr>
      </w:pPr>
      <w:r w:rsidRPr="00A60CE7">
        <w:rPr>
          <w:rFonts w:ascii="Times New Roman"/>
          <w:sz w:val="24"/>
          <w:szCs w:val="24"/>
        </w:rPr>
        <w:t>Note: Variable variances and intercepts not shown. Standardized coefficients reported.</w:t>
      </w:r>
    </w:p>
    <w:p w:rsidR="00823818" w:rsidRDefault="00823818" w:rsidP="0056776E">
      <w:pPr>
        <w:spacing w:after="200"/>
        <w:ind w:firstLine="720"/>
      </w:pPr>
    </w:p>
    <w:p w:rsidR="000217BF" w:rsidRDefault="000217BF" w:rsidP="005F28B1">
      <w:pPr>
        <w:spacing w:after="200" w:line="276" w:lineRule="auto"/>
      </w:pPr>
      <w:r>
        <w:br w:type="page"/>
      </w:r>
    </w:p>
    <w:p w:rsidR="00BB62CF" w:rsidRDefault="00BB62CF" w:rsidP="00BB62CF">
      <w:pPr>
        <w:spacing w:line="480" w:lineRule="auto"/>
        <w:ind w:firstLine="720"/>
      </w:pPr>
      <w:r>
        <w:lastRenderedPageBreak/>
        <w:t>As Table 1 indicates, thre</w:t>
      </w:r>
      <w:r w:rsidR="00352722">
        <w:t>e factors</w:t>
      </w:r>
      <w:r w:rsidR="00920A6B">
        <w:t xml:space="preserve"> </w:t>
      </w:r>
      <w:r w:rsidR="00352722">
        <w:t>I have named “</w:t>
      </w:r>
      <w:r>
        <w:t>Human</w:t>
      </w:r>
      <w:r w:rsidR="00352722">
        <w:t xml:space="preserve"> rights</w:t>
      </w:r>
      <w:r w:rsidR="00FB0A70">
        <w:t>,</w:t>
      </w:r>
      <w:r w:rsidR="00352722">
        <w:t>” “</w:t>
      </w:r>
      <w:r w:rsidR="005A7AC4">
        <w:t>Political</w:t>
      </w:r>
      <w:r w:rsidR="00197F74">
        <w:t xml:space="preserve"> </w:t>
      </w:r>
      <w:r w:rsidR="005A7AC4">
        <w:t>c</w:t>
      </w:r>
      <w:r w:rsidR="00197F74">
        <w:t>ompetition</w:t>
      </w:r>
      <w:r w:rsidR="00FB0A70">
        <w:t>,</w:t>
      </w:r>
      <w:r w:rsidR="00352722">
        <w:t>”</w:t>
      </w:r>
      <w:r>
        <w:t xml:space="preserve"> and </w:t>
      </w:r>
      <w:r w:rsidR="00352722">
        <w:t>“</w:t>
      </w:r>
      <w:r>
        <w:t>Inclusiveness</w:t>
      </w:r>
      <w:r w:rsidR="00FB0A70">
        <w:t>,</w:t>
      </w:r>
      <w:r w:rsidR="00352722">
        <w:t>”</w:t>
      </w:r>
      <w:r w:rsidR="00920A6B">
        <w:t xml:space="preserve"> a</w:t>
      </w:r>
      <w:r w:rsidR="00FB0A70">
        <w:t xml:space="preserve">re </w:t>
      </w:r>
      <w:r>
        <w:t>clearly recognizable in the data.</w:t>
      </w:r>
      <w:r w:rsidR="007F58E0">
        <w:rPr>
          <w:rStyle w:val="EndnoteReference"/>
        </w:rPr>
        <w:endnoteReference w:id="21"/>
      </w:r>
      <w:r>
        <w:t xml:space="preserve"> The first factor, for example, groups most of the civil and political rights that serve to distinguish democracies from autocracies such as the </w:t>
      </w:r>
      <w:r w:rsidR="00AF00F6" w:rsidRPr="00AF00F6">
        <w:t>freedoms of</w:t>
      </w:r>
      <w:r w:rsidRPr="00352722">
        <w:rPr>
          <w:i/>
        </w:rPr>
        <w:t xml:space="preserve"> speech</w:t>
      </w:r>
      <w:r>
        <w:t xml:space="preserve">, </w:t>
      </w:r>
      <w:r w:rsidR="0085184D">
        <w:rPr>
          <w:i/>
        </w:rPr>
        <w:t xml:space="preserve">assembly and </w:t>
      </w:r>
      <w:r w:rsidRPr="00352722">
        <w:rPr>
          <w:i/>
        </w:rPr>
        <w:t>association</w:t>
      </w:r>
      <w:r>
        <w:t xml:space="preserve">, and </w:t>
      </w:r>
      <w:r w:rsidRPr="00352722">
        <w:rPr>
          <w:i/>
        </w:rPr>
        <w:t>electoral self-determination</w:t>
      </w:r>
      <w:r>
        <w:t xml:space="preserve">, as well as the </w:t>
      </w:r>
      <w:r w:rsidRPr="00352722">
        <w:rPr>
          <w:i/>
        </w:rPr>
        <w:t>physical integrity</w:t>
      </w:r>
      <w:r w:rsidR="00102601">
        <w:rPr>
          <w:i/>
        </w:rPr>
        <w:t xml:space="preserve"> </w:t>
      </w:r>
      <w:r w:rsidR="00102601">
        <w:t>rights index</w:t>
      </w:r>
      <w:r w:rsidR="0085184D">
        <w:t xml:space="preserve"> and </w:t>
      </w:r>
      <w:r w:rsidRPr="00352722">
        <w:rPr>
          <w:i/>
        </w:rPr>
        <w:t>workers’ rights</w:t>
      </w:r>
      <w:r>
        <w:t xml:space="preserve">,. The </w:t>
      </w:r>
      <w:r w:rsidR="00B1720F">
        <w:t>results indicate</w:t>
      </w:r>
      <w:r>
        <w:t xml:space="preserve"> that </w:t>
      </w:r>
      <w:r w:rsidR="00F13FC4">
        <w:t xml:space="preserve">social and economic rights </w:t>
      </w:r>
      <w:r w:rsidR="00DA777B">
        <w:t xml:space="preserve">such </w:t>
      </w:r>
      <w:r w:rsidR="00F13FC4">
        <w:t xml:space="preserve">as </w:t>
      </w:r>
      <w:r w:rsidR="00F13FC4">
        <w:rPr>
          <w:i/>
        </w:rPr>
        <w:t>worker’s rights</w:t>
      </w:r>
      <w:r w:rsidR="00F13FC4">
        <w:t xml:space="preserve"> are important to the measurement of political regimes</w:t>
      </w:r>
      <w:r w:rsidR="00B1720F">
        <w:t>,</w:t>
      </w:r>
      <w:r w:rsidR="00322A3B">
        <w:t xml:space="preserve"> although </w:t>
      </w:r>
      <w:r w:rsidR="00B1720F">
        <w:t>the coefficient on this variable</w:t>
      </w:r>
      <w:r w:rsidR="00322A3B">
        <w:t xml:space="preserve"> is </w:t>
      </w:r>
      <w:r w:rsidR="00B1720F">
        <w:t>smaller</w:t>
      </w:r>
      <w:r w:rsidR="00322A3B">
        <w:t xml:space="preserve"> than those of other indicators</w:t>
      </w:r>
      <w:r w:rsidR="00352722">
        <w:t xml:space="preserve">. The high loading of </w:t>
      </w:r>
      <w:r w:rsidR="00352722" w:rsidRPr="00352722">
        <w:rPr>
          <w:i/>
        </w:rPr>
        <w:t>freedom of the press</w:t>
      </w:r>
      <w:r>
        <w:t xml:space="preserve"> on this factor indicate</w:t>
      </w:r>
      <w:r w:rsidR="00322A3B">
        <w:t>s</w:t>
      </w:r>
      <w:r>
        <w:t xml:space="preserve"> that </w:t>
      </w:r>
      <w:r w:rsidR="00322A3B">
        <w:t xml:space="preserve">a free press </w:t>
      </w:r>
      <w:r>
        <w:t>help</w:t>
      </w:r>
      <w:r w:rsidR="0085184D">
        <w:t>s</w:t>
      </w:r>
      <w:r>
        <w:t xml:space="preserve"> guarantee and uphold </w:t>
      </w:r>
      <w:r w:rsidR="00102601">
        <w:t xml:space="preserve">human </w:t>
      </w:r>
      <w:r>
        <w:t>rights.</w:t>
      </w:r>
      <w:r>
        <w:rPr>
          <w:rStyle w:val="EndnoteReference"/>
        </w:rPr>
        <w:endnoteReference w:id="22"/>
      </w:r>
      <w:r>
        <w:t xml:space="preserve">  </w:t>
      </w:r>
      <w:r>
        <w:tab/>
      </w:r>
    </w:p>
    <w:p w:rsidR="00BB62CF" w:rsidRDefault="00BB62CF" w:rsidP="00BB62CF">
      <w:pPr>
        <w:spacing w:line="480" w:lineRule="auto"/>
        <w:ind w:firstLine="720"/>
      </w:pPr>
      <w:r>
        <w:t xml:space="preserve">Component </w:t>
      </w:r>
      <w:r w:rsidR="00352722">
        <w:t xml:space="preserve">number </w:t>
      </w:r>
      <w:r w:rsidR="00A1658A">
        <w:t>two</w:t>
      </w:r>
      <w:r w:rsidR="00352722">
        <w:t>, which I have labeled “</w:t>
      </w:r>
      <w:r w:rsidR="005A7AC4">
        <w:t>Political competition</w:t>
      </w:r>
      <w:r w:rsidR="00352722">
        <w:t>”</w:t>
      </w:r>
      <w:r>
        <w:t xml:space="preserve">, correlates highly with features of the political system that help make </w:t>
      </w:r>
      <w:r w:rsidR="002475C2">
        <w:t>governments</w:t>
      </w:r>
      <w:r>
        <w:t xml:space="preserve"> more competitive</w:t>
      </w:r>
      <w:r w:rsidR="00920A6B">
        <w:t>,</w:t>
      </w:r>
      <w:r>
        <w:t xml:space="preserve"> such as having the smaller parties capture a greater share of the votes cast in parliamentary or presidential election</w:t>
      </w:r>
      <w:r w:rsidR="00352722">
        <w:t xml:space="preserve">s (witness the high loading of </w:t>
      </w:r>
      <w:r w:rsidR="00322A3B">
        <w:t xml:space="preserve">the </w:t>
      </w:r>
      <w:r w:rsidR="00352722" w:rsidRPr="00352722">
        <w:rPr>
          <w:i/>
        </w:rPr>
        <w:t>competition</w:t>
      </w:r>
      <w:r>
        <w:t xml:space="preserve"> </w:t>
      </w:r>
      <w:r w:rsidR="00322A3B">
        <w:t xml:space="preserve">indicator </w:t>
      </w:r>
      <w:r>
        <w:t>on this factor), or an executive that is subordinate to or faces parity with other branch</w:t>
      </w:r>
      <w:r w:rsidR="00352722">
        <w:t>es of government (</w:t>
      </w:r>
      <w:r w:rsidR="00352722" w:rsidRPr="00352722">
        <w:rPr>
          <w:i/>
        </w:rPr>
        <w:t>executive constraints</w:t>
      </w:r>
      <w:r>
        <w:t xml:space="preserve">). </w:t>
      </w:r>
      <w:proofErr w:type="gramStart"/>
      <w:r>
        <w:t xml:space="preserve">The variable </w:t>
      </w:r>
      <w:r w:rsidR="0085184D">
        <w:t>indicating whether the regime is democratic or authoritarian</w:t>
      </w:r>
      <w:r>
        <w:t xml:space="preserve"> </w:t>
      </w:r>
      <w:r w:rsidR="002475C2">
        <w:t xml:space="preserve">– regime type – </w:t>
      </w:r>
      <w:r>
        <w:t xml:space="preserve">and </w:t>
      </w:r>
      <w:r w:rsidRPr="00352722">
        <w:rPr>
          <w:i/>
        </w:rPr>
        <w:t>competitiveness of executive recruitment</w:t>
      </w:r>
      <w:r>
        <w:t xml:space="preserve"> also load highly on this factor.</w:t>
      </w:r>
      <w:proofErr w:type="gramEnd"/>
      <w:r>
        <w:t xml:space="preserve"> </w:t>
      </w:r>
    </w:p>
    <w:p w:rsidR="00BB62CF" w:rsidRDefault="00BB62CF" w:rsidP="00BB62CF">
      <w:pPr>
        <w:spacing w:line="480" w:lineRule="auto"/>
        <w:ind w:firstLine="720"/>
      </w:pPr>
      <w:r>
        <w:t>Finally, the thi</w:t>
      </w:r>
      <w:r w:rsidR="00352722">
        <w:t xml:space="preserve">rd factor groups the variables </w:t>
      </w:r>
      <w:r w:rsidR="00352722" w:rsidRPr="00352722">
        <w:rPr>
          <w:i/>
        </w:rPr>
        <w:t>suffrage</w:t>
      </w:r>
      <w:r w:rsidR="00352722">
        <w:t xml:space="preserve">, </w:t>
      </w:r>
      <w:r w:rsidR="00352722" w:rsidRPr="00352722">
        <w:rPr>
          <w:i/>
        </w:rPr>
        <w:t>women’s political rights</w:t>
      </w:r>
      <w:r w:rsidR="00352722">
        <w:t xml:space="preserve">, </w:t>
      </w:r>
      <w:r w:rsidRPr="00352722">
        <w:rPr>
          <w:i/>
        </w:rPr>
        <w:t>participation</w:t>
      </w:r>
      <w:r>
        <w:t xml:space="preserve">, </w:t>
      </w:r>
      <w:r w:rsidR="00352722" w:rsidRPr="00352722">
        <w:rPr>
          <w:i/>
        </w:rPr>
        <w:t>women’s economic rights</w:t>
      </w:r>
      <w:r w:rsidR="00352722">
        <w:t xml:space="preserve">, and </w:t>
      </w:r>
      <w:r w:rsidR="00352722" w:rsidRPr="00352722">
        <w:rPr>
          <w:i/>
        </w:rPr>
        <w:t>women’s social rights</w:t>
      </w:r>
      <w:r>
        <w:t xml:space="preserve">. The latter two are </w:t>
      </w:r>
      <w:r w:rsidR="00F13FC4">
        <w:t>social and economic</w:t>
      </w:r>
      <w:r>
        <w:t xml:space="preserve"> rights no</w:t>
      </w:r>
      <w:r w:rsidR="00352722">
        <w:t>t loading in the “Human rights”</w:t>
      </w:r>
      <w:r>
        <w:t xml:space="preserve"> dimension and it is noticeable in this regard that they correlate strongly with other measures of participation. We live in times when suffrage restrictions based on gender, race, educational or other </w:t>
      </w:r>
      <w:proofErr w:type="spellStart"/>
      <w:r>
        <w:t>ascriptive</w:t>
      </w:r>
      <w:proofErr w:type="spellEnd"/>
      <w:r>
        <w:t xml:space="preserve"> qualifications have become increasingly rare. As a result, my interpretation of th</w:t>
      </w:r>
      <w:r w:rsidR="002475C2">
        <w:t>is</w:t>
      </w:r>
      <w:r>
        <w:t xml:space="preserve"> </w:t>
      </w:r>
      <w:r w:rsidR="002475C2">
        <w:t xml:space="preserve">factor </w:t>
      </w:r>
      <w:r>
        <w:t xml:space="preserve">is that by granting women </w:t>
      </w:r>
      <w:r>
        <w:lastRenderedPageBreak/>
        <w:t>economic, social</w:t>
      </w:r>
      <w:r w:rsidR="00920A6B">
        <w:t>,</w:t>
      </w:r>
      <w:r>
        <w:t xml:space="preserve"> and political rights, countries elevate their status vis-à-vis men and </w:t>
      </w:r>
      <w:r w:rsidR="00322A3B">
        <w:t xml:space="preserve">help secure </w:t>
      </w:r>
      <w:r>
        <w:t>greater and perhaps qualitatively more meaningful political participation.</w:t>
      </w:r>
    </w:p>
    <w:p w:rsidR="00BB62CF" w:rsidRPr="00ED121B" w:rsidRDefault="00BB62CF" w:rsidP="00BB62CF">
      <w:pPr>
        <w:spacing w:line="480" w:lineRule="auto"/>
      </w:pPr>
      <w:r>
        <w:tab/>
      </w:r>
      <w:r w:rsidR="00ED121B">
        <w:t>Since no variable has a low loading, i.e., a coefficient below 0.4 (</w:t>
      </w:r>
      <w:proofErr w:type="spellStart"/>
      <w:r w:rsidR="00ED121B">
        <w:t>Davidov</w:t>
      </w:r>
      <w:proofErr w:type="spellEnd"/>
      <w:r w:rsidR="00ED121B">
        <w:t xml:space="preserve"> 2009, 67), </w:t>
      </w:r>
      <w:r>
        <w:t xml:space="preserve">all variables seem relevant to the </w:t>
      </w:r>
      <w:r w:rsidR="002475C2">
        <w:t>analysis</w:t>
      </w:r>
      <w:r>
        <w:t xml:space="preserve">. </w:t>
      </w:r>
      <w:r w:rsidR="00ED121B">
        <w:t xml:space="preserve">The CFA, moreover, fits the data well according to the model diagnostics. </w:t>
      </w:r>
      <w:r w:rsidR="00ED121B">
        <w:rPr>
          <w:rFonts w:ascii="Times" w:eastAsia="Times" w:hAnsi="Times" w:cs="Times"/>
        </w:rPr>
        <w:t>T</w:t>
      </w:r>
      <w:r w:rsidR="00ED121B" w:rsidRPr="00A60CE7">
        <w:rPr>
          <w:rFonts w:ascii="Times" w:eastAsia="Times" w:hAnsi="Times" w:cs="Times"/>
        </w:rPr>
        <w:t xml:space="preserve">he </w:t>
      </w:r>
      <w:r w:rsidR="00ED121B" w:rsidRPr="00A60CE7">
        <w:t>root mean square error of approximation (RMSEA)</w:t>
      </w:r>
      <w:r w:rsidR="00ED121B">
        <w:t xml:space="preserve"> is 0.</w:t>
      </w:r>
      <w:r w:rsidR="00F94833">
        <w:t>09</w:t>
      </w:r>
      <w:r w:rsidR="00ED121B">
        <w:t xml:space="preserve">1 </w:t>
      </w:r>
      <w:r w:rsidR="00F94833">
        <w:t xml:space="preserve">when </w:t>
      </w:r>
      <w:r w:rsidR="00261CD6">
        <w:t>a value</w:t>
      </w:r>
      <w:r w:rsidR="00F94833">
        <w:t xml:space="preserve"> of 0.08 </w:t>
      </w:r>
      <w:r w:rsidR="00261CD6">
        <w:t xml:space="preserve">or lower </w:t>
      </w:r>
      <w:r w:rsidR="00F94833">
        <w:t xml:space="preserve">is recommended </w:t>
      </w:r>
      <w:r w:rsidR="008C4AEF">
        <w:t>(</w:t>
      </w:r>
      <w:proofErr w:type="spellStart"/>
      <w:r w:rsidR="008C4AEF">
        <w:t>Acock</w:t>
      </w:r>
      <w:proofErr w:type="spellEnd"/>
      <w:r w:rsidR="008C4AEF">
        <w:t xml:space="preserve"> 2013, 24). I</w:t>
      </w:r>
      <w:r w:rsidR="00F94833">
        <w:t xml:space="preserve">t is important to </w:t>
      </w:r>
      <w:r w:rsidR="009F2859">
        <w:t>note</w:t>
      </w:r>
      <w:r w:rsidR="008C4AEF">
        <w:t>, however,</w:t>
      </w:r>
      <w:r w:rsidR="00F94833">
        <w:t xml:space="preserve"> that the </w:t>
      </w:r>
      <w:r w:rsidR="00102601">
        <w:t>global scope of the analysis</w:t>
      </w:r>
      <w:r w:rsidR="00F94833">
        <w:t xml:space="preserve"> </w:t>
      </w:r>
      <w:r w:rsidR="00102601">
        <w:t xml:space="preserve">– 149 </w:t>
      </w:r>
      <w:r w:rsidR="00F94833">
        <w:t xml:space="preserve">countries </w:t>
      </w:r>
      <w:r w:rsidR="009F2859">
        <w:t>of</w:t>
      </w:r>
      <w:r w:rsidR="00102601">
        <w:t xml:space="preserve"> all regime stripes – would make it difficult to obtain less noisy results</w:t>
      </w:r>
      <w:r w:rsidR="00F94833">
        <w:t xml:space="preserve">. </w:t>
      </w:r>
      <w:r w:rsidR="00C97591">
        <w:t>Furthermore, t</w:t>
      </w:r>
      <w:r w:rsidR="00ED121B">
        <w:t xml:space="preserve">he comparative fit index (CFI), </w:t>
      </w:r>
      <w:r w:rsidR="00ED121B" w:rsidRPr="00A60CE7">
        <w:t>a measure of how much better a model does compared to a model in which indicator variables are assumed to be unrelated</w:t>
      </w:r>
      <w:r w:rsidR="00F94833">
        <w:t>,</w:t>
      </w:r>
      <w:r w:rsidR="00ED121B">
        <w:t xml:space="preserve"> is 0.93</w:t>
      </w:r>
      <w:r w:rsidR="00ED121B" w:rsidRPr="00A60CE7">
        <w:t xml:space="preserve">. </w:t>
      </w:r>
      <w:r w:rsidR="00727310" w:rsidRPr="00102601">
        <w:t>This statistic should be greater than 0.9 (</w:t>
      </w:r>
      <w:proofErr w:type="spellStart"/>
      <w:r w:rsidR="00727310" w:rsidRPr="00102601">
        <w:t>Acock</w:t>
      </w:r>
      <w:proofErr w:type="spellEnd"/>
      <w:r w:rsidR="00727310" w:rsidRPr="00102601">
        <w:t xml:space="preserve"> 2013: 23), with a maximum possible of 1 and a minimum of 0</w:t>
      </w:r>
      <w:r w:rsidR="00727310">
        <w:t xml:space="preserve">. </w:t>
      </w:r>
      <w:r w:rsidR="008C4AEF">
        <w:t xml:space="preserve">Finally, the coefficient of determination (or CD), which is akin to </w:t>
      </w:r>
      <w:r w:rsidR="008C4AEF" w:rsidRPr="00A60CE7">
        <w:t>an R</w:t>
      </w:r>
      <w:r w:rsidR="008C4AEF">
        <w:t xml:space="preserve">² in regression analysis, is 0.997, indicating that most of the variation in the indicator variables is accounted for by the latent </w:t>
      </w:r>
      <w:r w:rsidR="002475C2">
        <w:t>factors</w:t>
      </w:r>
      <w:r w:rsidR="008C4AEF">
        <w:t>.</w:t>
      </w:r>
    </w:p>
    <w:p w:rsidR="008C4AEF" w:rsidRDefault="00BB62CF" w:rsidP="008C4AEF">
      <w:pPr>
        <w:spacing w:line="480" w:lineRule="auto"/>
        <w:ind w:firstLine="720"/>
      </w:pPr>
      <w:r>
        <w:t xml:space="preserve">This initial phase of the analysis </w:t>
      </w:r>
      <w:r w:rsidR="005A7AC4">
        <w:t>allows me</w:t>
      </w:r>
      <w:r>
        <w:t xml:space="preserve"> to verify the validity of selecting </w:t>
      </w:r>
      <w:r w:rsidR="002475C2">
        <w:t xml:space="preserve">an </w:t>
      </w:r>
      <w:r>
        <w:t xml:space="preserve">individual component </w:t>
      </w:r>
      <w:r w:rsidR="00AB4887">
        <w:t>(</w:t>
      </w:r>
      <w:r w:rsidR="00E540D7">
        <w:rPr>
          <w:i/>
        </w:rPr>
        <w:t xml:space="preserve">workers’ </w:t>
      </w:r>
      <w:r w:rsidR="00E540D7" w:rsidRPr="00352722">
        <w:rPr>
          <w:i/>
        </w:rPr>
        <w:t>rights</w:t>
      </w:r>
      <w:r w:rsidR="00E540D7">
        <w:t xml:space="preserve">, </w:t>
      </w:r>
      <w:r w:rsidR="00E540D7">
        <w:rPr>
          <w:i/>
        </w:rPr>
        <w:t>women’s political rights</w:t>
      </w:r>
      <w:r w:rsidR="00E540D7">
        <w:t xml:space="preserve">, and </w:t>
      </w:r>
      <w:r w:rsidR="00E540D7" w:rsidRPr="00352722">
        <w:rPr>
          <w:i/>
        </w:rPr>
        <w:t>executive constraints</w:t>
      </w:r>
      <w:r w:rsidR="00AB4887">
        <w:t xml:space="preserve">) </w:t>
      </w:r>
      <w:r>
        <w:t xml:space="preserve">from </w:t>
      </w:r>
      <w:r w:rsidR="002475C2">
        <w:t xml:space="preserve">each </w:t>
      </w:r>
      <w:r>
        <w:t>factor</w:t>
      </w:r>
      <w:r w:rsidR="00E540D7">
        <w:rPr>
          <w:i/>
        </w:rPr>
        <w:t xml:space="preserve"> </w:t>
      </w:r>
      <w:r w:rsidR="00920A6B">
        <w:t xml:space="preserve">for </w:t>
      </w:r>
      <w:r>
        <w:t xml:space="preserve">more in-depth analysis. </w:t>
      </w:r>
      <w:r w:rsidR="00F12411">
        <w:t xml:space="preserve">Collective labor rights are considered </w:t>
      </w:r>
      <w:r w:rsidR="00912859">
        <w:t>a special kind of</w:t>
      </w:r>
      <w:r w:rsidR="00F12411">
        <w:t xml:space="preserve"> human </w:t>
      </w:r>
      <w:r w:rsidR="00912859">
        <w:t>right</w:t>
      </w:r>
      <w:r w:rsidR="00F12411">
        <w:t xml:space="preserve"> (Mosley and Uno 2007, 924) even though democracies should uniformly guarantee them. Of particular interest to us then is the extent to which some countries also provide other employment-related protections to workers.</w:t>
      </w:r>
      <w:r w:rsidR="00F12411">
        <w:rPr>
          <w:rStyle w:val="EndnoteReference"/>
        </w:rPr>
        <w:endnoteReference w:id="23"/>
      </w:r>
      <w:r w:rsidR="00F12411">
        <w:t xml:space="preserve"> </w:t>
      </w:r>
      <w:r w:rsidRPr="00352722">
        <w:rPr>
          <w:i/>
        </w:rPr>
        <w:t>Workers’ rights</w:t>
      </w:r>
      <w:r>
        <w:t xml:space="preserve"> is originally coded as an ordinal variable with three categories</w:t>
      </w:r>
      <w:r w:rsidR="00920A6B">
        <w:t xml:space="preserve">: </w:t>
      </w:r>
      <w:r>
        <w:t>“[a] score of 0 indicates that workers’ rights were severely restricted; a score of 1 indicates that workers’ rights were somewhat restricted; and a score of 2 indicates that workers’ rights were fully protected during the year in question” (</w:t>
      </w:r>
      <w:proofErr w:type="spellStart"/>
      <w:r>
        <w:t>Cingranelli</w:t>
      </w:r>
      <w:proofErr w:type="spellEnd"/>
      <w:r>
        <w:t xml:space="preserve"> and Richards 2010). </w:t>
      </w:r>
    </w:p>
    <w:p w:rsidR="00E91611" w:rsidRDefault="000649B1" w:rsidP="00326487">
      <w:pPr>
        <w:spacing w:line="480" w:lineRule="auto"/>
        <w:ind w:firstLine="720"/>
      </w:pPr>
      <w:r w:rsidRPr="00CB17AC">
        <w:rPr>
          <w:i/>
        </w:rPr>
        <w:lastRenderedPageBreak/>
        <w:t>Executive constraints</w:t>
      </w:r>
      <w:r>
        <w:t xml:space="preserve"> is a seven-point categorical variable, but our analysis of institutional reform relies only on three of these categories: 5, 6, and 7. Category 5 is reserved for countries in which “the executive has more effective authority than any accountability group but is subject to substantial constraints by them”; level 6 is an intermediate category, and 7 is reserved for countries in which there is executive parity or subordination to other groups or branches of government (Marshall et al. 2011, 25). R</w:t>
      </w:r>
      <w:r w:rsidR="00E91611">
        <w:t xml:space="preserve">ecent work has demonstrated how important executive constraints are for democratic consolidation. </w:t>
      </w:r>
      <w:proofErr w:type="spellStart"/>
      <w:r w:rsidR="00CA5731">
        <w:t>Kapstein</w:t>
      </w:r>
      <w:proofErr w:type="spellEnd"/>
      <w:r w:rsidR="00CA5731">
        <w:t xml:space="preserve"> and Converse (2008, xv)</w:t>
      </w:r>
      <w:r w:rsidR="004E4ADD">
        <w:t xml:space="preserve"> claim</w:t>
      </w:r>
      <w:r>
        <w:t>,</w:t>
      </w:r>
      <w:r w:rsidR="00CA5731">
        <w:t xml:space="preserve"> </w:t>
      </w:r>
      <w:r>
        <w:t xml:space="preserve">for example, </w:t>
      </w:r>
      <w:r w:rsidR="00CA5731">
        <w:t xml:space="preserve">that “young democracies must put into place institutions and policies that disperse political and economic power if they are to survive.” </w:t>
      </w:r>
      <w:proofErr w:type="spellStart"/>
      <w:proofErr w:type="gramStart"/>
      <w:r w:rsidR="00F733FF">
        <w:t>Svolik</w:t>
      </w:r>
      <w:proofErr w:type="spellEnd"/>
      <w:r w:rsidR="00F733FF">
        <w:t xml:space="preserve"> (2014) </w:t>
      </w:r>
      <w:r>
        <w:t>shows</w:t>
      </w:r>
      <w:r w:rsidR="00F733FF">
        <w:t xml:space="preserve"> that democracies never really consolidate against the risk of an incumbent takeover.</w:t>
      </w:r>
      <w:proofErr w:type="gramEnd"/>
      <w:r w:rsidR="00F733FF">
        <w:t xml:space="preserve"> </w:t>
      </w:r>
    </w:p>
    <w:p w:rsidR="00BB62CF" w:rsidRDefault="005A7AC4" w:rsidP="008C4AEF">
      <w:pPr>
        <w:spacing w:line="480" w:lineRule="auto"/>
        <w:ind w:firstLine="720"/>
      </w:pPr>
      <w:r>
        <w:t xml:space="preserve">Finally, </w:t>
      </w:r>
      <w:r w:rsidRPr="005A7AC4">
        <w:rPr>
          <w:i/>
        </w:rPr>
        <w:t xml:space="preserve">women’s political </w:t>
      </w:r>
      <w:r w:rsidR="008603B4" w:rsidRPr="005A7AC4">
        <w:rPr>
          <w:i/>
        </w:rPr>
        <w:t>right</w:t>
      </w:r>
      <w:r w:rsidR="00920A6B">
        <w:rPr>
          <w:i/>
        </w:rPr>
        <w:t>s</w:t>
      </w:r>
      <w:r w:rsidR="008603B4" w:rsidRPr="005A7AC4">
        <w:rPr>
          <w:i/>
        </w:rPr>
        <w:t xml:space="preserve"> </w:t>
      </w:r>
      <w:r w:rsidR="008603B4" w:rsidRPr="008603B4">
        <w:t>is</w:t>
      </w:r>
      <w:r>
        <w:t xml:space="preserve"> a variable with four categories ranging from rights not being codified in </w:t>
      </w:r>
      <w:r w:rsidR="00E91611">
        <w:t xml:space="preserve">the </w:t>
      </w:r>
      <w:r>
        <w:t xml:space="preserve">law (a score of 0) to rights being guaranteed in both </w:t>
      </w:r>
      <w:r w:rsidR="00E91611">
        <w:t xml:space="preserve">the </w:t>
      </w:r>
      <w:r>
        <w:t>law and practice (a score of 3)</w:t>
      </w:r>
      <w:r w:rsidR="008603B4">
        <w:t>.</w:t>
      </w:r>
      <w:r>
        <w:t xml:space="preserve"> </w:t>
      </w:r>
      <w:r w:rsidR="00E506DA">
        <w:t xml:space="preserve">Recent work has persuasively demonstrated “the critical avenue of policy influence” social movements represent for women and workers </w:t>
      </w:r>
      <w:r w:rsidR="000649B1">
        <w:t xml:space="preserve">in established democracies </w:t>
      </w:r>
      <w:r w:rsidR="00E506DA">
        <w:t xml:space="preserve">(Weldon 2011, 1). </w:t>
      </w:r>
      <w:r w:rsidR="00F13FC4">
        <w:t>The following section evaluate</w:t>
      </w:r>
      <w:r w:rsidR="008B2D4A">
        <w:t>s</w:t>
      </w:r>
      <w:r w:rsidR="00F13FC4">
        <w:t xml:space="preserve"> the effects of protest on these outcomes. </w:t>
      </w:r>
    </w:p>
    <w:p w:rsidR="006C422B" w:rsidRDefault="006C422B" w:rsidP="006C422B">
      <w:pPr>
        <w:ind w:firstLine="720"/>
      </w:pPr>
    </w:p>
    <w:p w:rsidR="005C5AC9" w:rsidRDefault="00B64514" w:rsidP="005C5AC9">
      <w:pPr>
        <w:tabs>
          <w:tab w:val="left" w:pos="975"/>
        </w:tabs>
        <w:spacing w:line="480" w:lineRule="auto"/>
        <w:rPr>
          <w:b/>
        </w:rPr>
      </w:pPr>
      <w:r>
        <w:rPr>
          <w:b/>
        </w:rPr>
        <w:t>Explaining Institutional Reforms</w:t>
      </w:r>
    </w:p>
    <w:p w:rsidR="006C422B" w:rsidRDefault="006C422B" w:rsidP="006C422B">
      <w:pPr>
        <w:tabs>
          <w:tab w:val="left" w:pos="975"/>
        </w:tabs>
        <w:rPr>
          <w:b/>
        </w:rPr>
      </w:pPr>
    </w:p>
    <w:p w:rsidR="0066419A" w:rsidRDefault="00BC0DBB" w:rsidP="009A67CC">
      <w:pPr>
        <w:spacing w:line="480" w:lineRule="auto"/>
        <w:ind w:firstLine="720"/>
      </w:pPr>
      <w:r>
        <w:t>In determining the population of countries</w:t>
      </w:r>
      <w:r w:rsidR="00922889">
        <w:t xml:space="preserve"> suitable for the analysis</w:t>
      </w:r>
      <w:r>
        <w:t xml:space="preserve">, I decided </w:t>
      </w:r>
      <w:r w:rsidR="004A0E6D">
        <w:t xml:space="preserve">to employ a </w:t>
      </w:r>
      <w:r>
        <w:t xml:space="preserve">qualitative judgment of what countries would </w:t>
      </w:r>
      <w:r w:rsidR="00922889">
        <w:t xml:space="preserve">at least </w:t>
      </w:r>
      <w:r>
        <w:t>qualify as minimally or procedurally democratic.</w:t>
      </w:r>
      <w:r w:rsidR="00453EE6" w:rsidRPr="00453EE6">
        <w:t xml:space="preserve"> </w:t>
      </w:r>
      <w:proofErr w:type="spellStart"/>
      <w:r w:rsidR="00560A60">
        <w:t>Cheibub</w:t>
      </w:r>
      <w:proofErr w:type="spellEnd"/>
      <w:r w:rsidR="00560A60">
        <w:t xml:space="preserve"> et al. (</w:t>
      </w:r>
      <w:r w:rsidR="00F47F3B">
        <w:t>2010</w:t>
      </w:r>
      <w:r w:rsidR="00560A60">
        <w:t xml:space="preserve">, </w:t>
      </w:r>
      <w:r w:rsidR="00F47F3B">
        <w:t>69</w:t>
      </w:r>
      <w:r w:rsidR="00560A60">
        <w:t>) define a democracy as a country where the chief executive is</w:t>
      </w:r>
      <w:r w:rsidR="00EE465C">
        <w:t xml:space="preserve"> </w:t>
      </w:r>
      <w:r w:rsidR="00560A60">
        <w:t>chosen “by popular election or by a body that was itself popularly elected</w:t>
      </w:r>
      <w:r w:rsidR="00EE465C">
        <w:t>,</w:t>
      </w:r>
      <w:r w:rsidR="00560A60">
        <w:t>” the legislature is popularly elected, there is more than one party competing in elections, and “a</w:t>
      </w:r>
      <w:r w:rsidR="00560A60" w:rsidRPr="00F81A30">
        <w:t xml:space="preserve">n alternation in power under electoral rules identical to the ones that brought the incumbent to office must have </w:t>
      </w:r>
      <w:r w:rsidR="00560A60" w:rsidRPr="00F81A30">
        <w:lastRenderedPageBreak/>
        <w:t>taken place</w:t>
      </w:r>
      <w:r w:rsidR="00EE465C">
        <w:t>.</w:t>
      </w:r>
      <w:r w:rsidR="00560A60">
        <w:t xml:space="preserve">” </w:t>
      </w:r>
      <w:r w:rsidR="00453EE6">
        <w:t xml:space="preserve">According to the Polity IV codebook, </w:t>
      </w:r>
      <w:r w:rsidR="00EE465C">
        <w:t>“</w:t>
      </w:r>
      <w:r w:rsidR="00453EE6">
        <w:t>5</w:t>
      </w:r>
      <w:r w:rsidR="00EE465C">
        <w:t>”</w:t>
      </w:r>
      <w:r w:rsidR="00453EE6">
        <w:t xml:space="preserve"> is the ﬁrst value at which there are substantial limitations on executive power. </w:t>
      </w:r>
      <w:r>
        <w:t xml:space="preserve"> </w:t>
      </w:r>
      <w:r w:rsidR="00922889">
        <w:t>To be a democracy then</w:t>
      </w:r>
      <w:r w:rsidR="0066419A">
        <w:t xml:space="preserve">, </w:t>
      </w:r>
      <w:r w:rsidR="00922889">
        <w:t>a country had t</w:t>
      </w:r>
      <w:r w:rsidR="00F81A30">
        <w:t xml:space="preserve">o have a value of </w:t>
      </w:r>
      <w:r w:rsidR="00EE465C">
        <w:t>“</w:t>
      </w:r>
      <w:r w:rsidR="00F81A30">
        <w:t>1</w:t>
      </w:r>
      <w:r w:rsidR="00EE465C">
        <w:t>”</w:t>
      </w:r>
      <w:r w:rsidR="00F81A30">
        <w:t xml:space="preserve"> in </w:t>
      </w:r>
      <w:proofErr w:type="spellStart"/>
      <w:r w:rsidR="00F81A30">
        <w:t>Cheibub</w:t>
      </w:r>
      <w:proofErr w:type="spellEnd"/>
      <w:r w:rsidR="00F81A30">
        <w:t xml:space="preserve"> et al.’s</w:t>
      </w:r>
      <w:r w:rsidR="00922889">
        <w:t xml:space="preserve"> dichotomous coding of democratic regimes and a value of </w:t>
      </w:r>
      <w:r w:rsidR="00EE465C">
        <w:t>“</w:t>
      </w:r>
      <w:r w:rsidR="00922889">
        <w:t>5</w:t>
      </w:r>
      <w:r w:rsidR="00EE465C">
        <w:t>”</w:t>
      </w:r>
      <w:r w:rsidR="00922889">
        <w:t xml:space="preserve"> or more in Polity’s mea</w:t>
      </w:r>
      <w:r w:rsidR="00352722">
        <w:t>sure of executive constraints</w:t>
      </w:r>
      <w:r w:rsidR="00922889">
        <w:t>.</w:t>
      </w:r>
      <w:r w:rsidR="009F2859">
        <w:rPr>
          <w:rStyle w:val="EndnoteReference"/>
        </w:rPr>
        <w:endnoteReference w:id="24"/>
      </w:r>
      <w:r w:rsidR="00922889">
        <w:t xml:space="preserve"> Finally, I also excluded</w:t>
      </w:r>
      <w:r w:rsidR="00922889" w:rsidRPr="0059125C">
        <w:t xml:space="preserve"> those </w:t>
      </w:r>
      <w:r w:rsidR="00922889">
        <w:t xml:space="preserve">observations </w:t>
      </w:r>
      <w:r w:rsidR="00922889" w:rsidRPr="0059125C">
        <w:t>where authority characteristics are not stable due to civil war, foreign occupation, or a protracted regime transition</w:t>
      </w:r>
      <w:r w:rsidR="00922889">
        <w:t xml:space="preserve">. If </w:t>
      </w:r>
      <w:r w:rsidR="00453EE6">
        <w:t xml:space="preserve">a Polity score of </w:t>
      </w:r>
      <w:r w:rsidR="00EE465C">
        <w:t>“</w:t>
      </w:r>
      <w:r w:rsidR="00453EE6">
        <w:t>6</w:t>
      </w:r>
      <w:r w:rsidR="00EE465C">
        <w:t>”</w:t>
      </w:r>
      <w:r w:rsidR="00453EE6">
        <w:t xml:space="preserve"> or greater, a commonly used metric, is used instead to delineate </w:t>
      </w:r>
      <w:r w:rsidR="00922889">
        <w:t xml:space="preserve">the </w:t>
      </w:r>
      <w:r w:rsidR="00453EE6">
        <w:t>relevant population</w:t>
      </w:r>
      <w:r w:rsidR="00922889">
        <w:t xml:space="preserve">, the sample only increases by </w:t>
      </w:r>
      <w:r w:rsidR="00817FD6">
        <w:t>four</w:t>
      </w:r>
      <w:r w:rsidR="00922889">
        <w:t xml:space="preserve"> observations, providing confidence in the procedure used to </w:t>
      </w:r>
      <w:r w:rsidR="00896582">
        <w:t>select</w:t>
      </w:r>
      <w:r w:rsidR="00922889">
        <w:t xml:space="preserve"> the population. </w:t>
      </w:r>
      <w:r w:rsidR="008603B4">
        <w:t xml:space="preserve">Appendix </w:t>
      </w:r>
      <w:proofErr w:type="gramStart"/>
      <w:r w:rsidR="00560A60">
        <w:t>A</w:t>
      </w:r>
      <w:proofErr w:type="gramEnd"/>
      <w:r>
        <w:t xml:space="preserve"> presents a list of countries included in the analysis.</w:t>
      </w:r>
      <w:r w:rsidR="00560A60">
        <w:t xml:space="preserve"> Appendix B provides a brief description of the control variables included in the regression models.</w:t>
      </w:r>
    </w:p>
    <w:p w:rsidR="006F2F05" w:rsidRDefault="00BB62CF" w:rsidP="00EA523C">
      <w:pPr>
        <w:spacing w:line="480" w:lineRule="auto"/>
        <w:ind w:firstLine="720"/>
      </w:pPr>
      <w:r>
        <w:t xml:space="preserve">Turning now to the empirical analysis, </w:t>
      </w:r>
      <w:r w:rsidR="005A7AC4">
        <w:t xml:space="preserve">I estimated three regression equations using multinomial ordered </w:t>
      </w:r>
      <w:proofErr w:type="spellStart"/>
      <w:r w:rsidR="005A7AC4">
        <w:t>probit</w:t>
      </w:r>
      <w:proofErr w:type="spellEnd"/>
      <w:r w:rsidR="00D51104">
        <w:t xml:space="preserve"> models</w:t>
      </w:r>
      <w:r>
        <w:t xml:space="preserve">. The choice of </w:t>
      </w:r>
      <w:r w:rsidR="0004714E">
        <w:t xml:space="preserve">model </w:t>
      </w:r>
      <w:r>
        <w:t>is dictated by the natu</w:t>
      </w:r>
      <w:r w:rsidR="00D51104">
        <w:t>re of the</w:t>
      </w:r>
      <w:r w:rsidR="002341BE">
        <w:t xml:space="preserve"> dependent variables</w:t>
      </w:r>
      <w:r w:rsidR="00D51104">
        <w:t xml:space="preserve">, which in all cases consist of limited categorical outcomes that are </w:t>
      </w:r>
      <w:r w:rsidR="00A944F4">
        <w:t>given in ascending order</w:t>
      </w:r>
      <w:r w:rsidR="00D51104">
        <w:t xml:space="preserve">, but where </w:t>
      </w:r>
      <w:r w:rsidR="00A944F4">
        <w:t>one</w:t>
      </w:r>
      <w:r w:rsidR="00D51104">
        <w:t xml:space="preserve"> cannot presume that a change from category 1 to 2 is equivalent to a change from</w:t>
      </w:r>
      <w:r w:rsidR="00295FEF">
        <w:t xml:space="preserve"> category 2 to 3</w:t>
      </w:r>
      <w:r>
        <w:t>.</w:t>
      </w:r>
      <w:r w:rsidR="00D51104">
        <w:t xml:space="preserve"> </w:t>
      </w:r>
      <w:r w:rsidR="00EA523C">
        <w:t>Coefficients reflect the decrease/</w:t>
      </w:r>
      <w:r w:rsidR="00EA523C" w:rsidRPr="00EA523C">
        <w:t xml:space="preserve">increase in probability attributed to a one-unit </w:t>
      </w:r>
      <w:r w:rsidR="00EA523C">
        <w:t xml:space="preserve">increase in a given predictor. However, the exact increase </w:t>
      </w:r>
      <w:r w:rsidR="00EA523C" w:rsidRPr="00EA523C">
        <w:t xml:space="preserve">in probability </w:t>
      </w:r>
      <w:r w:rsidR="00EA523C">
        <w:t>depends on</w:t>
      </w:r>
      <w:r w:rsidR="00EA523C" w:rsidRPr="00EA523C">
        <w:t xml:space="preserve"> both </w:t>
      </w:r>
      <w:r w:rsidR="00EA523C">
        <w:t xml:space="preserve">the starting value of the </w:t>
      </w:r>
      <w:r w:rsidR="00560A60">
        <w:t>predictor</w:t>
      </w:r>
      <w:r w:rsidR="00EA523C">
        <w:t xml:space="preserve"> as well as </w:t>
      </w:r>
      <w:r w:rsidR="00EA523C" w:rsidRPr="00EA523C">
        <w:t>on the values of the other predictors</w:t>
      </w:r>
      <w:r w:rsidR="00EA523C">
        <w:t>.</w:t>
      </w:r>
      <w:r w:rsidR="00EB235B">
        <w:rPr>
          <w:rStyle w:val="EndnoteReference"/>
        </w:rPr>
        <w:endnoteReference w:id="25"/>
      </w:r>
      <w:r w:rsidR="006F2F05">
        <w:tab/>
        <w:t xml:space="preserve"> </w:t>
      </w:r>
    </w:p>
    <w:p w:rsidR="003E6B06" w:rsidRDefault="006F2F05" w:rsidP="006F2F05">
      <w:pPr>
        <w:tabs>
          <w:tab w:val="left" w:pos="975"/>
        </w:tabs>
        <w:spacing w:line="480" w:lineRule="auto"/>
      </w:pPr>
      <w:r>
        <w:tab/>
      </w:r>
      <w:r w:rsidR="00395BD3">
        <w:t>An argument could be made that protests</w:t>
      </w:r>
      <w:r w:rsidR="00E051A5">
        <w:t xml:space="preserve">, rather than the cause of more or less </w:t>
      </w:r>
      <w:r w:rsidR="00453EE6">
        <w:t>protection for workers</w:t>
      </w:r>
      <w:r w:rsidR="006C6D02">
        <w:t xml:space="preserve"> and more or less </w:t>
      </w:r>
      <w:r w:rsidR="00E051A5">
        <w:t>constrained executive</w:t>
      </w:r>
      <w:r w:rsidR="006C6D02">
        <w:t>s</w:t>
      </w:r>
      <w:r w:rsidR="00E051A5">
        <w:t xml:space="preserve">, </w:t>
      </w:r>
      <w:r w:rsidR="00395BD3">
        <w:t xml:space="preserve">could </w:t>
      </w:r>
      <w:r w:rsidR="00E051A5">
        <w:t xml:space="preserve">be a response to </w:t>
      </w:r>
      <w:r w:rsidR="00395BD3">
        <w:t>a lack of rights</w:t>
      </w:r>
      <w:r w:rsidR="00756515">
        <w:t xml:space="preserve"> </w:t>
      </w:r>
      <w:r w:rsidR="00E051A5">
        <w:t>or heavy</w:t>
      </w:r>
      <w:r w:rsidR="006C6D02">
        <w:t>-</w:t>
      </w:r>
      <w:r w:rsidR="00E051A5">
        <w:t>handed executive</w:t>
      </w:r>
      <w:r w:rsidR="006C6D02">
        <w:t xml:space="preserve">s. </w:t>
      </w:r>
      <w:r w:rsidR="00756515">
        <w:t xml:space="preserve">I address </w:t>
      </w:r>
      <w:r w:rsidR="00CC0F50">
        <w:t xml:space="preserve">this </w:t>
      </w:r>
      <w:proofErr w:type="spellStart"/>
      <w:r w:rsidR="00CC0F50">
        <w:t>endogeneity</w:t>
      </w:r>
      <w:proofErr w:type="spellEnd"/>
      <w:r w:rsidR="00756515">
        <w:t xml:space="preserve"> by </w:t>
      </w:r>
      <w:r w:rsidR="00CC0F50">
        <w:t>employing</w:t>
      </w:r>
      <w:r w:rsidR="00AE5525">
        <w:t xml:space="preserve"> both contemporaneous and lagged versions of </w:t>
      </w:r>
      <w:r w:rsidR="00212811">
        <w:rPr>
          <w:i/>
        </w:rPr>
        <w:t xml:space="preserve">anti-government </w:t>
      </w:r>
      <w:r w:rsidR="006C6D02">
        <w:rPr>
          <w:i/>
        </w:rPr>
        <w:t>demonstrations</w:t>
      </w:r>
      <w:r w:rsidR="006C6D02">
        <w:t xml:space="preserve">, </w:t>
      </w:r>
      <w:r w:rsidR="00212811">
        <w:rPr>
          <w:i/>
        </w:rPr>
        <w:t xml:space="preserve">general </w:t>
      </w:r>
      <w:r w:rsidR="006C6D02" w:rsidRPr="006C6D02">
        <w:rPr>
          <w:i/>
        </w:rPr>
        <w:t>strikes</w:t>
      </w:r>
      <w:r w:rsidR="006C6D02">
        <w:t xml:space="preserve">, and </w:t>
      </w:r>
      <w:r w:rsidR="006C6D02" w:rsidRPr="006C6D02">
        <w:rPr>
          <w:i/>
        </w:rPr>
        <w:t>riots</w:t>
      </w:r>
      <w:r w:rsidR="00756515">
        <w:t xml:space="preserve"> </w:t>
      </w:r>
      <w:r w:rsidR="00AE5525">
        <w:t xml:space="preserve">in the model for </w:t>
      </w:r>
      <w:r w:rsidR="00AE5525" w:rsidRPr="00AE5525">
        <w:rPr>
          <w:i/>
        </w:rPr>
        <w:t>workers’ rights</w:t>
      </w:r>
      <w:r w:rsidR="00756515">
        <w:t xml:space="preserve">. </w:t>
      </w:r>
      <w:r w:rsidR="00AE5525">
        <w:t xml:space="preserve">Social protest most probably affects </w:t>
      </w:r>
      <w:r w:rsidR="00AE5525" w:rsidRPr="00EB235B">
        <w:rPr>
          <w:i/>
        </w:rPr>
        <w:t>executive constraints</w:t>
      </w:r>
      <w:r w:rsidR="00AE5525">
        <w:t xml:space="preserve"> </w:t>
      </w:r>
      <w:r w:rsidR="00AE5525">
        <w:lastRenderedPageBreak/>
        <w:t xml:space="preserve">with a considerable lag. Consequently, I exclude contemporaneous measures of protest from this model. </w:t>
      </w:r>
      <w:r w:rsidR="003E6B06">
        <w:t>Finally</w:t>
      </w:r>
      <w:r w:rsidR="00AE5525">
        <w:t xml:space="preserve">, </w:t>
      </w:r>
      <w:r w:rsidR="00756515">
        <w:t xml:space="preserve">I </w:t>
      </w:r>
      <w:r w:rsidR="003E6B06">
        <w:t>use lagged versions of</w:t>
      </w:r>
      <w:r w:rsidR="00756515">
        <w:t xml:space="preserve"> the </w:t>
      </w:r>
      <w:r w:rsidR="00AE5525">
        <w:t xml:space="preserve">two political opportunity structure </w:t>
      </w:r>
      <w:r w:rsidR="00756515">
        <w:t xml:space="preserve">variables </w:t>
      </w:r>
      <w:r w:rsidR="003E6B06">
        <w:t>(</w:t>
      </w:r>
      <w:r w:rsidR="00295FEF">
        <w:rPr>
          <w:i/>
        </w:rPr>
        <w:t>partisan alignment</w:t>
      </w:r>
      <w:r w:rsidR="00756515">
        <w:t xml:space="preserve"> and </w:t>
      </w:r>
      <w:r w:rsidR="00756515">
        <w:rPr>
          <w:i/>
        </w:rPr>
        <w:t>judicial independence</w:t>
      </w:r>
      <w:r w:rsidR="003E6B06">
        <w:t>)</w:t>
      </w:r>
      <w:r w:rsidR="00756515">
        <w:rPr>
          <w:i/>
        </w:rPr>
        <w:t xml:space="preserve"> </w:t>
      </w:r>
      <w:r w:rsidR="00756515" w:rsidRPr="00756515">
        <w:t>in</w:t>
      </w:r>
      <w:r w:rsidR="00756515">
        <w:t xml:space="preserve"> the model for </w:t>
      </w:r>
      <w:r w:rsidR="00756515">
        <w:rPr>
          <w:i/>
        </w:rPr>
        <w:t>executive constraints</w:t>
      </w:r>
      <w:r w:rsidR="00756515">
        <w:t xml:space="preserve">. This also </w:t>
      </w:r>
      <w:r w:rsidR="002F0E22">
        <w:t>controls for</w:t>
      </w:r>
      <w:r w:rsidR="00756515">
        <w:t xml:space="preserve"> the possibility that</w:t>
      </w:r>
      <w:r w:rsidR="00747B9D">
        <w:t>, in response to a heavy-handed executive,</w:t>
      </w:r>
      <w:r w:rsidR="006C6D02">
        <w:t xml:space="preserve"> </w:t>
      </w:r>
      <w:r w:rsidR="00212811">
        <w:t xml:space="preserve">the judiciary acts less independently or </w:t>
      </w:r>
      <w:r w:rsidR="006C6D02">
        <w:t xml:space="preserve">citizens vote in </w:t>
      </w:r>
      <w:r w:rsidR="00756515">
        <w:t>a divided government</w:t>
      </w:r>
      <w:r w:rsidR="005C5AC9">
        <w:t>.</w:t>
      </w:r>
      <w:r w:rsidR="003E6B06">
        <w:t xml:space="preserve"> </w:t>
      </w:r>
    </w:p>
    <w:p w:rsidR="005E7FA4" w:rsidRPr="00371022" w:rsidRDefault="003E6B06" w:rsidP="00371022">
      <w:pPr>
        <w:tabs>
          <w:tab w:val="left" w:pos="975"/>
        </w:tabs>
        <w:spacing w:line="480" w:lineRule="auto"/>
      </w:pPr>
      <w:r>
        <w:tab/>
        <w:t xml:space="preserve">If political opportunity variables are seen as mediating the effect of social protest on institutional reform, it is important to </w:t>
      </w:r>
      <w:r w:rsidR="002F0E22">
        <w:t xml:space="preserve">enter these variables individually as well as </w:t>
      </w:r>
      <w:r w:rsidR="00A944F4">
        <w:t>interacted</w:t>
      </w:r>
      <w:r>
        <w:t xml:space="preserve"> with the measures of social protest.</w:t>
      </w:r>
      <w:r w:rsidR="00747B9D">
        <w:t xml:space="preserve"> </w:t>
      </w:r>
      <w:r w:rsidR="006F2F05">
        <w:t>Table</w:t>
      </w:r>
      <w:r w:rsidR="00295FEF">
        <w:t xml:space="preserve"> </w:t>
      </w:r>
      <w:r w:rsidR="008603B4">
        <w:t>2</w:t>
      </w:r>
      <w:r w:rsidR="00295FEF">
        <w:t xml:space="preserve"> presents the results of the three</w:t>
      </w:r>
      <w:r w:rsidR="006F2F05">
        <w:t xml:space="preserve"> regression models estimated. </w:t>
      </w:r>
    </w:p>
    <w:p w:rsidR="005E7FA4" w:rsidRDefault="005E7FA4" w:rsidP="005E7FA4">
      <w:pPr>
        <w:rPr>
          <w:b/>
        </w:rPr>
      </w:pPr>
    </w:p>
    <w:p w:rsidR="005E7FA4" w:rsidRDefault="005E7FA4" w:rsidP="005E7FA4">
      <w:pPr>
        <w:rPr>
          <w:b/>
        </w:rPr>
      </w:pPr>
    </w:p>
    <w:p w:rsidR="005E7FA4" w:rsidRPr="00154A63" w:rsidRDefault="005E7FA4" w:rsidP="005E7FA4">
      <w:pPr>
        <w:rPr>
          <w:b/>
        </w:rPr>
      </w:pPr>
      <w:r w:rsidRPr="00154A63">
        <w:rPr>
          <w:b/>
        </w:rPr>
        <w:t>Table 2 Determinants of Institutional Reforms in Democracies, 1994-2007</w:t>
      </w:r>
    </w:p>
    <w:p w:rsidR="005E7FA4" w:rsidRDefault="005E7FA4" w:rsidP="005E7FA4"/>
    <w:tbl>
      <w:tblPr>
        <w:tblW w:w="0" w:type="auto"/>
        <w:jc w:val="center"/>
        <w:tblCellMar>
          <w:left w:w="144" w:type="dxa"/>
          <w:right w:w="144" w:type="dxa"/>
        </w:tblCellMar>
        <w:tblLook w:val="0000" w:firstRow="0" w:lastRow="0" w:firstColumn="0" w:lastColumn="0" w:noHBand="0" w:noVBand="0"/>
      </w:tblPr>
      <w:tblGrid>
        <w:gridCol w:w="4273"/>
        <w:gridCol w:w="1889"/>
        <w:gridCol w:w="1606"/>
        <w:gridCol w:w="1880"/>
      </w:tblGrid>
      <w:tr w:rsidR="005E7FA4" w:rsidTr="000D01B2">
        <w:trPr>
          <w:jc w:val="center"/>
        </w:trPr>
        <w:tc>
          <w:tcPr>
            <w:tcW w:w="0" w:type="auto"/>
            <w:tcBorders>
              <w:top w:val="single" w:sz="6" w:space="0" w:color="auto"/>
            </w:tcBorders>
          </w:tcPr>
          <w:p w:rsidR="005E7FA4" w:rsidRPr="00154A63" w:rsidRDefault="005E7FA4" w:rsidP="000D01B2">
            <w:pPr>
              <w:widowControl w:val="0"/>
              <w:autoSpaceDE w:val="0"/>
              <w:autoSpaceDN w:val="0"/>
              <w:adjustRightInd w:val="0"/>
              <w:rPr>
                <w:b/>
              </w:rPr>
            </w:pPr>
            <w:r w:rsidRPr="00154A63">
              <w:rPr>
                <w:b/>
              </w:rPr>
              <w:t>Independent variable</w:t>
            </w:r>
          </w:p>
        </w:tc>
        <w:tc>
          <w:tcPr>
            <w:tcW w:w="0" w:type="auto"/>
            <w:tcBorders>
              <w:top w:val="single" w:sz="6" w:space="0" w:color="auto"/>
            </w:tcBorders>
          </w:tcPr>
          <w:p w:rsidR="005E7FA4" w:rsidRPr="00154A63" w:rsidRDefault="005E7FA4" w:rsidP="000D01B2">
            <w:pPr>
              <w:widowControl w:val="0"/>
              <w:tabs>
                <w:tab w:val="decimal" w:pos="538"/>
              </w:tabs>
              <w:autoSpaceDE w:val="0"/>
              <w:autoSpaceDN w:val="0"/>
              <w:adjustRightInd w:val="0"/>
              <w:jc w:val="center"/>
              <w:rPr>
                <w:b/>
              </w:rPr>
            </w:pPr>
            <w:r w:rsidRPr="00154A63">
              <w:rPr>
                <w:b/>
              </w:rPr>
              <w:t>Workers’ Rights</w:t>
            </w:r>
          </w:p>
        </w:tc>
        <w:tc>
          <w:tcPr>
            <w:tcW w:w="1606" w:type="dxa"/>
            <w:tcBorders>
              <w:top w:val="single" w:sz="6" w:space="0" w:color="auto"/>
            </w:tcBorders>
          </w:tcPr>
          <w:p w:rsidR="005E7FA4" w:rsidRPr="00154A63" w:rsidRDefault="005E7FA4" w:rsidP="000D01B2">
            <w:pPr>
              <w:widowControl w:val="0"/>
              <w:tabs>
                <w:tab w:val="decimal" w:pos="538"/>
              </w:tabs>
              <w:autoSpaceDE w:val="0"/>
              <w:autoSpaceDN w:val="0"/>
              <w:adjustRightInd w:val="0"/>
              <w:jc w:val="center"/>
              <w:rPr>
                <w:b/>
              </w:rPr>
            </w:pPr>
            <w:r w:rsidRPr="00154A63">
              <w:rPr>
                <w:b/>
              </w:rPr>
              <w:t>Executive Constraints</w:t>
            </w:r>
          </w:p>
        </w:tc>
        <w:tc>
          <w:tcPr>
            <w:tcW w:w="1880" w:type="dxa"/>
            <w:tcBorders>
              <w:top w:val="single" w:sz="6" w:space="0" w:color="auto"/>
              <w:right w:val="nil"/>
            </w:tcBorders>
          </w:tcPr>
          <w:p w:rsidR="005E7FA4" w:rsidRPr="00154A63" w:rsidRDefault="005E7FA4" w:rsidP="000D01B2">
            <w:pPr>
              <w:widowControl w:val="0"/>
              <w:tabs>
                <w:tab w:val="decimal" w:pos="538"/>
              </w:tabs>
              <w:autoSpaceDE w:val="0"/>
              <w:autoSpaceDN w:val="0"/>
              <w:adjustRightInd w:val="0"/>
              <w:jc w:val="center"/>
              <w:rPr>
                <w:b/>
              </w:rPr>
            </w:pPr>
            <w:r w:rsidRPr="00154A63">
              <w:rPr>
                <w:b/>
              </w:rPr>
              <w:t>Women’s Political Rights</w:t>
            </w:r>
          </w:p>
        </w:tc>
      </w:tr>
      <w:tr w:rsidR="00D964F0" w:rsidRPr="00B929C5" w:rsidTr="000D01B2">
        <w:trPr>
          <w:jc w:val="center"/>
        </w:trPr>
        <w:tc>
          <w:tcPr>
            <w:tcW w:w="0" w:type="auto"/>
          </w:tcPr>
          <w:p w:rsidR="00D964F0" w:rsidRPr="000649B1" w:rsidRDefault="00D964F0" w:rsidP="000D01B2">
            <w:pPr>
              <w:widowControl w:val="0"/>
              <w:autoSpaceDE w:val="0"/>
              <w:autoSpaceDN w:val="0"/>
              <w:adjustRightInd w:val="0"/>
            </w:pPr>
          </w:p>
          <w:p w:rsidR="00D964F0" w:rsidRPr="000649B1" w:rsidRDefault="00D964F0" w:rsidP="00852C25">
            <w:pPr>
              <w:widowControl w:val="0"/>
              <w:autoSpaceDE w:val="0"/>
              <w:autoSpaceDN w:val="0"/>
              <w:adjustRightInd w:val="0"/>
            </w:pPr>
            <w:r w:rsidRPr="000649B1">
              <w:t xml:space="preserve">Left </w:t>
            </w:r>
            <w:r w:rsidR="00852C25">
              <w:t>executive</w:t>
            </w:r>
            <w:r w:rsidRPr="000649B1">
              <w:t>/Political competition</w:t>
            </w:r>
          </w:p>
        </w:tc>
        <w:tc>
          <w:tcPr>
            <w:tcW w:w="0" w:type="auto"/>
          </w:tcPr>
          <w:p w:rsidR="00D964F0" w:rsidRDefault="00D964F0" w:rsidP="000D01B2">
            <w:pPr>
              <w:widowControl w:val="0"/>
              <w:tabs>
                <w:tab w:val="decimal" w:pos="538"/>
              </w:tabs>
              <w:autoSpaceDE w:val="0"/>
              <w:autoSpaceDN w:val="0"/>
              <w:adjustRightInd w:val="0"/>
            </w:pPr>
          </w:p>
          <w:p w:rsidR="00D964F0" w:rsidRPr="00C51E33" w:rsidRDefault="00D964F0" w:rsidP="000D01B2">
            <w:pPr>
              <w:widowControl w:val="0"/>
              <w:tabs>
                <w:tab w:val="decimal" w:pos="538"/>
              </w:tabs>
              <w:autoSpaceDE w:val="0"/>
              <w:autoSpaceDN w:val="0"/>
              <w:adjustRightInd w:val="0"/>
            </w:pPr>
            <w:r>
              <w:t>0.514***</w:t>
            </w:r>
          </w:p>
        </w:tc>
        <w:tc>
          <w:tcPr>
            <w:tcW w:w="1606" w:type="dxa"/>
          </w:tcPr>
          <w:p w:rsidR="00D964F0" w:rsidRPr="00C51E33" w:rsidRDefault="00D964F0" w:rsidP="000D01B2">
            <w:pPr>
              <w:widowControl w:val="0"/>
              <w:tabs>
                <w:tab w:val="decimal" w:pos="538"/>
              </w:tabs>
              <w:autoSpaceDE w:val="0"/>
              <w:autoSpaceDN w:val="0"/>
              <w:adjustRightInd w:val="0"/>
            </w:pPr>
          </w:p>
        </w:tc>
        <w:tc>
          <w:tcPr>
            <w:tcW w:w="1880" w:type="dxa"/>
            <w:tcBorders>
              <w:right w:val="nil"/>
            </w:tcBorders>
          </w:tcPr>
          <w:p w:rsidR="00D964F0" w:rsidRPr="00D964F0" w:rsidRDefault="00D964F0" w:rsidP="00D964F0">
            <w:pPr>
              <w:jc w:val="center"/>
            </w:pPr>
          </w:p>
          <w:p w:rsidR="00D964F0" w:rsidRPr="00D964F0" w:rsidRDefault="00D964F0" w:rsidP="00D964F0">
            <w:pPr>
              <w:jc w:val="center"/>
            </w:pPr>
            <w:r w:rsidRPr="00D964F0">
              <w:t>2.639***</w:t>
            </w:r>
          </w:p>
        </w:tc>
      </w:tr>
      <w:tr w:rsidR="00D964F0" w:rsidRPr="00B929C5" w:rsidTr="000D01B2">
        <w:trPr>
          <w:jc w:val="center"/>
        </w:trPr>
        <w:tc>
          <w:tcPr>
            <w:tcW w:w="0" w:type="auto"/>
          </w:tcPr>
          <w:p w:rsidR="00D964F0" w:rsidRPr="000649B1" w:rsidRDefault="00D964F0" w:rsidP="000D01B2">
            <w:pPr>
              <w:widowControl w:val="0"/>
              <w:autoSpaceDE w:val="0"/>
              <w:autoSpaceDN w:val="0"/>
              <w:adjustRightInd w:val="0"/>
            </w:pPr>
          </w:p>
        </w:tc>
        <w:tc>
          <w:tcPr>
            <w:tcW w:w="0" w:type="auto"/>
          </w:tcPr>
          <w:p w:rsidR="00D964F0" w:rsidRPr="00233034" w:rsidRDefault="00D964F0" w:rsidP="00F605A5">
            <w:pPr>
              <w:widowControl w:val="0"/>
              <w:tabs>
                <w:tab w:val="decimal" w:pos="538"/>
              </w:tabs>
              <w:autoSpaceDE w:val="0"/>
              <w:autoSpaceDN w:val="0"/>
              <w:adjustRightInd w:val="0"/>
            </w:pPr>
            <w:r w:rsidRPr="00233034">
              <w:t>(0.199)</w:t>
            </w:r>
          </w:p>
        </w:tc>
        <w:tc>
          <w:tcPr>
            <w:tcW w:w="1606" w:type="dxa"/>
          </w:tcPr>
          <w:p w:rsidR="00D964F0" w:rsidRPr="00C51E33" w:rsidRDefault="00D964F0" w:rsidP="000D01B2">
            <w:pPr>
              <w:widowControl w:val="0"/>
              <w:tabs>
                <w:tab w:val="decimal" w:pos="538"/>
              </w:tabs>
              <w:autoSpaceDE w:val="0"/>
              <w:autoSpaceDN w:val="0"/>
              <w:adjustRightInd w:val="0"/>
            </w:pPr>
          </w:p>
        </w:tc>
        <w:tc>
          <w:tcPr>
            <w:tcW w:w="1880" w:type="dxa"/>
            <w:tcBorders>
              <w:right w:val="nil"/>
            </w:tcBorders>
          </w:tcPr>
          <w:p w:rsidR="00D964F0" w:rsidRPr="00D964F0" w:rsidRDefault="00D964F0" w:rsidP="00F605A5">
            <w:pPr>
              <w:widowControl w:val="0"/>
              <w:tabs>
                <w:tab w:val="decimal" w:pos="538"/>
              </w:tabs>
              <w:autoSpaceDE w:val="0"/>
              <w:autoSpaceDN w:val="0"/>
              <w:adjustRightInd w:val="0"/>
            </w:pPr>
            <w:r w:rsidRPr="00D964F0">
              <w:t>(0.586)</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Durability</w:t>
            </w:r>
          </w:p>
        </w:tc>
        <w:tc>
          <w:tcPr>
            <w:tcW w:w="0" w:type="auto"/>
          </w:tcPr>
          <w:p w:rsidR="00233034" w:rsidRPr="00233034" w:rsidRDefault="00233034" w:rsidP="00F605A5">
            <w:pPr>
              <w:widowControl w:val="0"/>
              <w:tabs>
                <w:tab w:val="decimal" w:pos="538"/>
              </w:tabs>
              <w:autoSpaceDE w:val="0"/>
              <w:autoSpaceDN w:val="0"/>
              <w:adjustRightInd w:val="0"/>
            </w:pPr>
            <w:r w:rsidRPr="00233034">
              <w:t>0.004</w:t>
            </w:r>
          </w:p>
        </w:tc>
        <w:tc>
          <w:tcPr>
            <w:tcW w:w="1606" w:type="dxa"/>
          </w:tcPr>
          <w:p w:rsidR="00233034" w:rsidRPr="00C51E33" w:rsidRDefault="00233034" w:rsidP="000D01B2">
            <w:pPr>
              <w:widowControl w:val="0"/>
              <w:tabs>
                <w:tab w:val="decimal" w:pos="538"/>
              </w:tabs>
              <w:autoSpaceDE w:val="0"/>
              <w:autoSpaceDN w:val="0"/>
              <w:adjustRightInd w:val="0"/>
            </w:pPr>
            <w:r w:rsidRPr="00C51E33">
              <w:t>0.010</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-0.009*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(0.003)</w:t>
            </w:r>
          </w:p>
        </w:tc>
        <w:tc>
          <w:tcPr>
            <w:tcW w:w="1606" w:type="dxa"/>
          </w:tcPr>
          <w:p w:rsidR="00233034" w:rsidRPr="00C51E33" w:rsidRDefault="00233034" w:rsidP="000D01B2">
            <w:pPr>
              <w:widowControl w:val="0"/>
              <w:tabs>
                <w:tab w:val="decimal" w:pos="538"/>
              </w:tabs>
              <w:autoSpaceDE w:val="0"/>
              <w:autoSpaceDN w:val="0"/>
              <w:adjustRightInd w:val="0"/>
            </w:pPr>
            <w:r w:rsidRPr="00C51E33">
              <w:t>(0.008)</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(0.005)</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Fractionalization</w:t>
            </w:r>
          </w:p>
        </w:tc>
        <w:tc>
          <w:tcPr>
            <w:tcW w:w="0" w:type="auto"/>
          </w:tcPr>
          <w:p w:rsidR="00233034" w:rsidRPr="00233034" w:rsidRDefault="00233034" w:rsidP="00F605A5">
            <w:pPr>
              <w:widowControl w:val="0"/>
              <w:tabs>
                <w:tab w:val="decimal" w:pos="538"/>
              </w:tabs>
              <w:autoSpaceDE w:val="0"/>
              <w:autoSpaceDN w:val="0"/>
              <w:adjustRightInd w:val="0"/>
            </w:pPr>
            <w:r w:rsidRPr="00233034">
              <w:t>-1.016***</w:t>
            </w:r>
          </w:p>
        </w:tc>
        <w:tc>
          <w:tcPr>
            <w:tcW w:w="1606" w:type="dxa"/>
          </w:tcPr>
          <w:p w:rsidR="00233034" w:rsidRPr="00C51E33" w:rsidRDefault="00233034" w:rsidP="000D01B2">
            <w:pPr>
              <w:widowControl w:val="0"/>
              <w:tabs>
                <w:tab w:val="decimal" w:pos="538"/>
              </w:tabs>
              <w:autoSpaceDE w:val="0"/>
              <w:autoSpaceDN w:val="0"/>
              <w:adjustRightInd w:val="0"/>
            </w:pPr>
            <w:r w:rsidRPr="00C51E33">
              <w:t>1.901***</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-0.642</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(0.358)</w:t>
            </w:r>
          </w:p>
        </w:tc>
        <w:tc>
          <w:tcPr>
            <w:tcW w:w="1606" w:type="dxa"/>
          </w:tcPr>
          <w:p w:rsidR="00233034" w:rsidRPr="00C51E33" w:rsidRDefault="00233034" w:rsidP="000D01B2">
            <w:pPr>
              <w:widowControl w:val="0"/>
              <w:tabs>
                <w:tab w:val="decimal" w:pos="538"/>
              </w:tabs>
              <w:autoSpaceDE w:val="0"/>
              <w:autoSpaceDN w:val="0"/>
              <w:adjustRightInd w:val="0"/>
            </w:pPr>
            <w:r w:rsidRPr="00C51E33">
              <w:t>(0.481)</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(0.509)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GDP per capita</w:t>
            </w:r>
          </w:p>
        </w:tc>
        <w:tc>
          <w:tcPr>
            <w:tcW w:w="0" w:type="auto"/>
          </w:tcPr>
          <w:p w:rsidR="00233034" w:rsidRPr="00233034" w:rsidRDefault="00233034" w:rsidP="00F605A5">
            <w:pPr>
              <w:widowControl w:val="0"/>
              <w:tabs>
                <w:tab w:val="decimal" w:pos="538"/>
              </w:tabs>
              <w:autoSpaceDE w:val="0"/>
              <w:autoSpaceDN w:val="0"/>
              <w:adjustRightInd w:val="0"/>
            </w:pPr>
            <w:r w:rsidRPr="00233034">
              <w:t>0.000</w:t>
            </w:r>
          </w:p>
        </w:tc>
        <w:tc>
          <w:tcPr>
            <w:tcW w:w="1606" w:type="dxa"/>
          </w:tcPr>
          <w:p w:rsidR="00233034" w:rsidRPr="00C51E33" w:rsidRDefault="00233034" w:rsidP="000D01B2">
            <w:pPr>
              <w:widowControl w:val="0"/>
              <w:tabs>
                <w:tab w:val="decimal" w:pos="538"/>
              </w:tabs>
              <w:autoSpaceDE w:val="0"/>
              <w:autoSpaceDN w:val="0"/>
              <w:adjustRightInd w:val="0"/>
            </w:pPr>
            <w:r w:rsidRPr="00C51E33">
              <w:t>0.000***</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0.000***</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(0.000)</w:t>
            </w:r>
          </w:p>
        </w:tc>
        <w:tc>
          <w:tcPr>
            <w:tcW w:w="1606" w:type="dxa"/>
          </w:tcPr>
          <w:p w:rsidR="00233034" w:rsidRPr="00C51E33" w:rsidRDefault="00233034" w:rsidP="000D01B2">
            <w:pPr>
              <w:widowControl w:val="0"/>
              <w:tabs>
                <w:tab w:val="decimal" w:pos="538"/>
              </w:tabs>
              <w:autoSpaceDE w:val="0"/>
              <w:autoSpaceDN w:val="0"/>
              <w:adjustRightInd w:val="0"/>
            </w:pPr>
            <w:r w:rsidRPr="00C51E33">
              <w:t>(0.000)</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(0.000)</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Inequality</w:t>
            </w:r>
          </w:p>
        </w:tc>
        <w:tc>
          <w:tcPr>
            <w:tcW w:w="0" w:type="auto"/>
          </w:tcPr>
          <w:p w:rsidR="00233034" w:rsidRPr="00233034" w:rsidRDefault="00233034" w:rsidP="00F605A5">
            <w:pPr>
              <w:widowControl w:val="0"/>
              <w:tabs>
                <w:tab w:val="decimal" w:pos="538"/>
              </w:tabs>
              <w:autoSpaceDE w:val="0"/>
              <w:autoSpaceDN w:val="0"/>
              <w:adjustRightInd w:val="0"/>
            </w:pPr>
            <w:r w:rsidRPr="00233034">
              <w:t>-0.003</w:t>
            </w:r>
          </w:p>
        </w:tc>
        <w:tc>
          <w:tcPr>
            <w:tcW w:w="1606" w:type="dxa"/>
          </w:tcPr>
          <w:p w:rsidR="00233034" w:rsidRPr="00C51E33" w:rsidRDefault="00233034" w:rsidP="000D01B2">
            <w:pPr>
              <w:widowControl w:val="0"/>
              <w:tabs>
                <w:tab w:val="decimal" w:pos="538"/>
              </w:tabs>
              <w:autoSpaceDE w:val="0"/>
              <w:autoSpaceDN w:val="0"/>
              <w:adjustRightInd w:val="0"/>
            </w:pPr>
            <w:r w:rsidRPr="00C51E33">
              <w:t>0.025*</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-0.005</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(0.012)</w:t>
            </w:r>
          </w:p>
        </w:tc>
        <w:tc>
          <w:tcPr>
            <w:tcW w:w="1606" w:type="dxa"/>
          </w:tcPr>
          <w:p w:rsidR="00233034" w:rsidRPr="00C51E33" w:rsidRDefault="00233034" w:rsidP="000D01B2">
            <w:pPr>
              <w:widowControl w:val="0"/>
              <w:tabs>
                <w:tab w:val="decimal" w:pos="538"/>
              </w:tabs>
              <w:autoSpaceDE w:val="0"/>
              <w:autoSpaceDN w:val="0"/>
              <w:adjustRightInd w:val="0"/>
            </w:pPr>
            <w:r w:rsidRPr="00C51E33">
              <w:t>(0.015)</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(0.018)</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Oil rents</w:t>
            </w:r>
          </w:p>
        </w:tc>
        <w:tc>
          <w:tcPr>
            <w:tcW w:w="0" w:type="auto"/>
          </w:tcPr>
          <w:p w:rsidR="00233034" w:rsidRPr="00233034" w:rsidRDefault="00233034" w:rsidP="00F605A5">
            <w:pPr>
              <w:widowControl w:val="0"/>
              <w:tabs>
                <w:tab w:val="decimal" w:pos="538"/>
              </w:tabs>
              <w:autoSpaceDE w:val="0"/>
              <w:autoSpaceDN w:val="0"/>
              <w:adjustRightInd w:val="0"/>
            </w:pPr>
            <w:r w:rsidRPr="00233034">
              <w:t>-0.035</w:t>
            </w:r>
          </w:p>
        </w:tc>
        <w:tc>
          <w:tcPr>
            <w:tcW w:w="1606" w:type="dxa"/>
          </w:tcPr>
          <w:p w:rsidR="00233034" w:rsidRPr="00C51E33" w:rsidRDefault="00233034" w:rsidP="000D01B2">
            <w:pPr>
              <w:widowControl w:val="0"/>
              <w:tabs>
                <w:tab w:val="decimal" w:pos="538"/>
              </w:tabs>
              <w:autoSpaceDE w:val="0"/>
              <w:autoSpaceDN w:val="0"/>
              <w:adjustRightInd w:val="0"/>
            </w:pPr>
            <w:r w:rsidRPr="00C51E33">
              <w:t>-0.063***</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-0.017</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(0.033)</w:t>
            </w:r>
          </w:p>
        </w:tc>
        <w:tc>
          <w:tcPr>
            <w:tcW w:w="1606" w:type="dxa"/>
          </w:tcPr>
          <w:p w:rsidR="00233034" w:rsidRPr="00C51E33" w:rsidRDefault="00233034" w:rsidP="000D01B2">
            <w:pPr>
              <w:widowControl w:val="0"/>
              <w:tabs>
                <w:tab w:val="decimal" w:pos="538"/>
              </w:tabs>
              <w:autoSpaceDE w:val="0"/>
              <w:autoSpaceDN w:val="0"/>
              <w:adjustRightInd w:val="0"/>
            </w:pPr>
            <w:r w:rsidRPr="00C51E33">
              <w:t>(0.010)</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(0.023)</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Globalization</w:t>
            </w:r>
          </w:p>
        </w:tc>
        <w:tc>
          <w:tcPr>
            <w:tcW w:w="0" w:type="auto"/>
          </w:tcPr>
          <w:p w:rsidR="00233034" w:rsidRPr="00233034" w:rsidRDefault="00233034" w:rsidP="00F605A5">
            <w:pPr>
              <w:widowControl w:val="0"/>
              <w:tabs>
                <w:tab w:val="decimal" w:pos="538"/>
              </w:tabs>
              <w:autoSpaceDE w:val="0"/>
              <w:autoSpaceDN w:val="0"/>
              <w:adjustRightInd w:val="0"/>
            </w:pPr>
            <w:r w:rsidRPr="00233034">
              <w:t>-0.021*</w:t>
            </w:r>
          </w:p>
        </w:tc>
        <w:tc>
          <w:tcPr>
            <w:tcW w:w="1606" w:type="dxa"/>
          </w:tcPr>
          <w:p w:rsidR="00233034" w:rsidRPr="00C51E33" w:rsidRDefault="00233034" w:rsidP="000D01B2">
            <w:pPr>
              <w:widowControl w:val="0"/>
              <w:tabs>
                <w:tab w:val="decimal" w:pos="538"/>
              </w:tabs>
              <w:autoSpaceDE w:val="0"/>
              <w:autoSpaceDN w:val="0"/>
              <w:adjustRightInd w:val="0"/>
            </w:pPr>
            <w:r w:rsidRPr="00C51E33">
              <w:t>0.030***</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0.028***</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(0.011)</w:t>
            </w:r>
          </w:p>
        </w:tc>
        <w:tc>
          <w:tcPr>
            <w:tcW w:w="1606" w:type="dxa"/>
          </w:tcPr>
          <w:p w:rsidR="00233034" w:rsidRPr="00C51E33" w:rsidRDefault="00233034" w:rsidP="000D01B2">
            <w:pPr>
              <w:widowControl w:val="0"/>
              <w:tabs>
                <w:tab w:val="decimal" w:pos="538"/>
              </w:tabs>
              <w:autoSpaceDE w:val="0"/>
              <w:autoSpaceDN w:val="0"/>
              <w:adjustRightInd w:val="0"/>
            </w:pPr>
            <w:r w:rsidRPr="00C51E33">
              <w:t>(0.007)</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(0.009)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Demonstrations</w:t>
            </w:r>
          </w:p>
        </w:tc>
        <w:tc>
          <w:tcPr>
            <w:tcW w:w="0" w:type="auto"/>
          </w:tcPr>
          <w:p w:rsidR="00233034" w:rsidRPr="00233034" w:rsidRDefault="00233034" w:rsidP="00F605A5">
            <w:pPr>
              <w:widowControl w:val="0"/>
              <w:tabs>
                <w:tab w:val="decimal" w:pos="538"/>
              </w:tabs>
              <w:autoSpaceDE w:val="0"/>
              <w:autoSpaceDN w:val="0"/>
              <w:adjustRightInd w:val="0"/>
            </w:pPr>
            <w:r w:rsidRPr="00233034">
              <w:t>0.142</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-0.023</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(0.262)</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(0.279)</w:t>
            </w:r>
          </w:p>
        </w:tc>
      </w:tr>
      <w:tr w:rsidR="00233034" w:rsidRPr="00B929C5" w:rsidTr="000D01B2">
        <w:trPr>
          <w:jc w:val="center"/>
        </w:trPr>
        <w:tc>
          <w:tcPr>
            <w:tcW w:w="0" w:type="auto"/>
          </w:tcPr>
          <w:p w:rsidR="00233034" w:rsidRPr="000649B1" w:rsidRDefault="001D6089" w:rsidP="000D01B2">
            <w:pPr>
              <w:widowControl w:val="0"/>
              <w:autoSpaceDE w:val="0"/>
              <w:autoSpaceDN w:val="0"/>
              <w:adjustRightInd w:val="0"/>
            </w:pPr>
            <w:r>
              <w:t>(</w:t>
            </w:r>
            <w:r w:rsidR="00233034" w:rsidRPr="000649B1">
              <w:t>General</w:t>
            </w:r>
            <w:r>
              <w:t>)</w:t>
            </w:r>
            <w:r w:rsidR="00233034" w:rsidRPr="000649B1">
              <w:t xml:space="preserve"> strikes</w:t>
            </w:r>
          </w:p>
        </w:tc>
        <w:tc>
          <w:tcPr>
            <w:tcW w:w="0" w:type="auto"/>
          </w:tcPr>
          <w:p w:rsidR="00233034" w:rsidRPr="00233034" w:rsidRDefault="00233034" w:rsidP="00F605A5">
            <w:pPr>
              <w:widowControl w:val="0"/>
              <w:tabs>
                <w:tab w:val="decimal" w:pos="538"/>
              </w:tabs>
              <w:autoSpaceDE w:val="0"/>
              <w:autoSpaceDN w:val="0"/>
              <w:adjustRightInd w:val="0"/>
            </w:pPr>
            <w:r w:rsidRPr="00233034">
              <w:t>0.000</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-1.765***</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(0.002)</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(0.454)</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Riots</w:t>
            </w:r>
          </w:p>
        </w:tc>
        <w:tc>
          <w:tcPr>
            <w:tcW w:w="0" w:type="auto"/>
          </w:tcPr>
          <w:p w:rsidR="00233034" w:rsidRPr="00233034" w:rsidRDefault="00233034" w:rsidP="00F605A5">
            <w:pPr>
              <w:widowControl w:val="0"/>
              <w:tabs>
                <w:tab w:val="decimal" w:pos="538"/>
              </w:tabs>
              <w:autoSpaceDE w:val="0"/>
              <w:autoSpaceDN w:val="0"/>
              <w:adjustRightInd w:val="0"/>
            </w:pPr>
            <w:r w:rsidRPr="00233034">
              <w:t>0.304</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0.282</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(0.670)</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(0.431)</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Partisan nonalignment</w:t>
            </w:r>
          </w:p>
        </w:tc>
        <w:tc>
          <w:tcPr>
            <w:tcW w:w="0" w:type="auto"/>
          </w:tcPr>
          <w:p w:rsidR="00233034" w:rsidRPr="00233034" w:rsidRDefault="00233034" w:rsidP="00F605A5">
            <w:pPr>
              <w:widowControl w:val="0"/>
              <w:tabs>
                <w:tab w:val="decimal" w:pos="538"/>
              </w:tabs>
              <w:autoSpaceDE w:val="0"/>
              <w:autoSpaceDN w:val="0"/>
              <w:adjustRightInd w:val="0"/>
            </w:pPr>
            <w:r w:rsidRPr="00233034">
              <w:t>2.349**</w:t>
            </w:r>
          </w:p>
        </w:tc>
        <w:tc>
          <w:tcPr>
            <w:tcW w:w="1606" w:type="dxa"/>
          </w:tcPr>
          <w:p w:rsidR="00233034" w:rsidRPr="00C51E33" w:rsidRDefault="00233034" w:rsidP="000D01B2">
            <w:pPr>
              <w:widowControl w:val="0"/>
              <w:tabs>
                <w:tab w:val="decimal" w:pos="538"/>
              </w:tabs>
              <w:autoSpaceDE w:val="0"/>
              <w:autoSpaceDN w:val="0"/>
              <w:adjustRightInd w:val="0"/>
            </w:pPr>
            <w:r w:rsidRPr="00C51E33">
              <w:t>0.454</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0.680</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(1.022)</w:t>
            </w:r>
          </w:p>
        </w:tc>
        <w:tc>
          <w:tcPr>
            <w:tcW w:w="1606" w:type="dxa"/>
          </w:tcPr>
          <w:p w:rsidR="00233034" w:rsidRPr="00C51E33" w:rsidRDefault="00233034" w:rsidP="000D01B2">
            <w:pPr>
              <w:widowControl w:val="0"/>
              <w:tabs>
                <w:tab w:val="decimal" w:pos="538"/>
              </w:tabs>
              <w:autoSpaceDE w:val="0"/>
              <w:autoSpaceDN w:val="0"/>
              <w:adjustRightInd w:val="0"/>
            </w:pPr>
            <w:r w:rsidRPr="00C51E33">
              <w:t>(0.410)</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(1.260)</w:t>
            </w:r>
          </w:p>
        </w:tc>
      </w:tr>
      <w:tr w:rsidR="00233034" w:rsidRPr="00B929C5" w:rsidTr="000D01B2">
        <w:trPr>
          <w:jc w:val="center"/>
        </w:trPr>
        <w:tc>
          <w:tcPr>
            <w:tcW w:w="0" w:type="auto"/>
            <w:vMerge w:val="restart"/>
          </w:tcPr>
          <w:p w:rsidR="00233034" w:rsidRPr="000649B1" w:rsidRDefault="00233034" w:rsidP="000D01B2">
            <w:pPr>
              <w:widowControl w:val="0"/>
              <w:autoSpaceDE w:val="0"/>
              <w:autoSpaceDN w:val="0"/>
              <w:adjustRightInd w:val="0"/>
            </w:pPr>
            <w:r w:rsidRPr="000649B1">
              <w:t>Partisan nonalignment*demonstrations</w:t>
            </w:r>
          </w:p>
        </w:tc>
        <w:tc>
          <w:tcPr>
            <w:tcW w:w="0" w:type="auto"/>
          </w:tcPr>
          <w:p w:rsidR="00233034" w:rsidRPr="00233034" w:rsidRDefault="00233034" w:rsidP="00F605A5">
            <w:pPr>
              <w:widowControl w:val="0"/>
              <w:tabs>
                <w:tab w:val="decimal" w:pos="538"/>
              </w:tabs>
              <w:autoSpaceDE w:val="0"/>
              <w:autoSpaceDN w:val="0"/>
              <w:adjustRightInd w:val="0"/>
            </w:pPr>
            <w:r w:rsidRPr="00233034">
              <w:t>-0.291</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0.502</w:t>
            </w:r>
          </w:p>
        </w:tc>
      </w:tr>
      <w:tr w:rsidR="00233034" w:rsidRPr="00B929C5" w:rsidTr="000D01B2">
        <w:trPr>
          <w:jc w:val="center"/>
        </w:trPr>
        <w:tc>
          <w:tcPr>
            <w:tcW w:w="0" w:type="auto"/>
            <w:vMerge/>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(0.428)</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(0.617)</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Partisan nonalignment*strikes</w:t>
            </w:r>
          </w:p>
        </w:tc>
        <w:tc>
          <w:tcPr>
            <w:tcW w:w="0" w:type="auto"/>
          </w:tcPr>
          <w:p w:rsidR="00233034" w:rsidRPr="00233034" w:rsidRDefault="00233034" w:rsidP="00F605A5">
            <w:pPr>
              <w:widowControl w:val="0"/>
              <w:tabs>
                <w:tab w:val="decimal" w:pos="538"/>
              </w:tabs>
              <w:autoSpaceDE w:val="0"/>
              <w:autoSpaceDN w:val="0"/>
              <w:adjustRightInd w:val="0"/>
            </w:pPr>
            <w:r w:rsidRPr="00233034">
              <w:t>-0.001</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0.149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(0.004)</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(1.108)</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Partisan nonalignment*riots</w:t>
            </w:r>
          </w:p>
        </w:tc>
        <w:tc>
          <w:tcPr>
            <w:tcW w:w="0" w:type="auto"/>
          </w:tcPr>
          <w:p w:rsidR="00233034" w:rsidRPr="00233034" w:rsidRDefault="00233034" w:rsidP="00F605A5">
            <w:pPr>
              <w:widowControl w:val="0"/>
              <w:tabs>
                <w:tab w:val="decimal" w:pos="538"/>
              </w:tabs>
              <w:autoSpaceDE w:val="0"/>
              <w:autoSpaceDN w:val="0"/>
              <w:adjustRightInd w:val="0"/>
            </w:pPr>
            <w:r w:rsidRPr="00233034">
              <w:t>-0.119</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0.069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(0.912)</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(0.882)</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Judicial independence</w:t>
            </w:r>
          </w:p>
        </w:tc>
        <w:tc>
          <w:tcPr>
            <w:tcW w:w="0" w:type="auto"/>
          </w:tcPr>
          <w:p w:rsidR="00233034" w:rsidRPr="00233034" w:rsidRDefault="00233034" w:rsidP="00F605A5">
            <w:pPr>
              <w:widowControl w:val="0"/>
              <w:tabs>
                <w:tab w:val="decimal" w:pos="538"/>
              </w:tabs>
              <w:autoSpaceDE w:val="0"/>
              <w:autoSpaceDN w:val="0"/>
              <w:adjustRightInd w:val="0"/>
            </w:pPr>
            <w:r w:rsidRPr="00233034">
              <w:t>0.306</w:t>
            </w:r>
          </w:p>
        </w:tc>
        <w:tc>
          <w:tcPr>
            <w:tcW w:w="1606" w:type="dxa"/>
          </w:tcPr>
          <w:p w:rsidR="00233034" w:rsidRPr="00C51E33" w:rsidRDefault="00233034" w:rsidP="000D01B2">
            <w:pPr>
              <w:widowControl w:val="0"/>
              <w:tabs>
                <w:tab w:val="decimal" w:pos="538"/>
              </w:tabs>
              <w:autoSpaceDE w:val="0"/>
              <w:autoSpaceDN w:val="0"/>
              <w:adjustRightInd w:val="0"/>
            </w:pPr>
            <w:r w:rsidRPr="00C51E33">
              <w:t>0.291</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-0.600***</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(0.196)</w:t>
            </w:r>
          </w:p>
        </w:tc>
        <w:tc>
          <w:tcPr>
            <w:tcW w:w="1606" w:type="dxa"/>
          </w:tcPr>
          <w:p w:rsidR="00233034" w:rsidRPr="00C51E33" w:rsidRDefault="00233034" w:rsidP="000D01B2">
            <w:pPr>
              <w:widowControl w:val="0"/>
              <w:tabs>
                <w:tab w:val="decimal" w:pos="538"/>
              </w:tabs>
              <w:autoSpaceDE w:val="0"/>
              <w:autoSpaceDN w:val="0"/>
              <w:adjustRightInd w:val="0"/>
            </w:pPr>
            <w:r w:rsidRPr="00C51E33">
              <w:t>(0.204)</w:t>
            </w: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(0.207)</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Judicial independence*demonstrations</w:t>
            </w:r>
          </w:p>
        </w:tc>
        <w:tc>
          <w:tcPr>
            <w:tcW w:w="0" w:type="auto"/>
          </w:tcPr>
          <w:p w:rsidR="00233034" w:rsidRPr="00233034" w:rsidRDefault="00233034" w:rsidP="00F605A5">
            <w:pPr>
              <w:widowControl w:val="0"/>
              <w:tabs>
                <w:tab w:val="decimal" w:pos="538"/>
              </w:tabs>
              <w:autoSpaceDE w:val="0"/>
              <w:autoSpaceDN w:val="0"/>
              <w:adjustRightInd w:val="0"/>
            </w:pPr>
            <w:r w:rsidRPr="00233034">
              <w:t>-0.071</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-0.216</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(0.111)</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(0.139)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Judicial independence*strikes</w:t>
            </w:r>
          </w:p>
        </w:tc>
        <w:tc>
          <w:tcPr>
            <w:tcW w:w="0" w:type="auto"/>
          </w:tcPr>
          <w:p w:rsidR="00233034" w:rsidRPr="00233034" w:rsidRDefault="00233034" w:rsidP="00F605A5">
            <w:pPr>
              <w:widowControl w:val="0"/>
              <w:tabs>
                <w:tab w:val="decimal" w:pos="538"/>
              </w:tabs>
              <w:autoSpaceDE w:val="0"/>
              <w:autoSpaceDN w:val="0"/>
              <w:adjustRightInd w:val="0"/>
            </w:pPr>
            <w:r w:rsidRPr="00233034">
              <w:t>0.000</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1.160***</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(0.000)</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(0.269)</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r w:rsidRPr="000649B1">
              <w:t>Judicial independence*riots</w:t>
            </w:r>
          </w:p>
        </w:tc>
        <w:tc>
          <w:tcPr>
            <w:tcW w:w="0" w:type="auto"/>
          </w:tcPr>
          <w:p w:rsidR="00233034" w:rsidRPr="00233034" w:rsidRDefault="00233034" w:rsidP="00F605A5">
            <w:pPr>
              <w:widowControl w:val="0"/>
              <w:tabs>
                <w:tab w:val="decimal" w:pos="538"/>
              </w:tabs>
              <w:autoSpaceDE w:val="0"/>
              <w:autoSpaceDN w:val="0"/>
              <w:adjustRightInd w:val="0"/>
            </w:pPr>
            <w:r w:rsidRPr="00233034">
              <w:t>-0.236</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-0.155</w:t>
            </w:r>
          </w:p>
        </w:tc>
      </w:tr>
      <w:tr w:rsidR="00233034" w:rsidRPr="00B929C5" w:rsidTr="000D01B2">
        <w:trPr>
          <w:jc w:val="center"/>
        </w:trPr>
        <w:tc>
          <w:tcPr>
            <w:tcW w:w="0" w:type="auto"/>
          </w:tcPr>
          <w:p w:rsidR="00233034" w:rsidRPr="000649B1" w:rsidRDefault="00233034" w:rsidP="000D01B2">
            <w:pPr>
              <w:widowControl w:val="0"/>
              <w:autoSpaceDE w:val="0"/>
              <w:autoSpaceDN w:val="0"/>
              <w:adjustRightInd w:val="0"/>
            </w:pPr>
          </w:p>
        </w:tc>
        <w:tc>
          <w:tcPr>
            <w:tcW w:w="0" w:type="auto"/>
          </w:tcPr>
          <w:p w:rsidR="00233034" w:rsidRPr="00233034" w:rsidRDefault="00233034" w:rsidP="00F605A5">
            <w:pPr>
              <w:widowControl w:val="0"/>
              <w:tabs>
                <w:tab w:val="decimal" w:pos="538"/>
              </w:tabs>
              <w:autoSpaceDE w:val="0"/>
              <w:autoSpaceDN w:val="0"/>
              <w:adjustRightInd w:val="0"/>
            </w:pPr>
            <w:r w:rsidRPr="00233034">
              <w:t>(0.248)</w:t>
            </w:r>
          </w:p>
        </w:tc>
        <w:tc>
          <w:tcPr>
            <w:tcW w:w="1606" w:type="dxa"/>
          </w:tcPr>
          <w:p w:rsidR="00233034" w:rsidRPr="00C51E33" w:rsidRDefault="00233034" w:rsidP="000D01B2">
            <w:pPr>
              <w:widowControl w:val="0"/>
              <w:tabs>
                <w:tab w:val="decimal" w:pos="538"/>
              </w:tabs>
              <w:autoSpaceDE w:val="0"/>
              <w:autoSpaceDN w:val="0"/>
              <w:adjustRightInd w:val="0"/>
            </w:pPr>
          </w:p>
        </w:tc>
        <w:tc>
          <w:tcPr>
            <w:tcW w:w="1880" w:type="dxa"/>
            <w:tcBorders>
              <w:right w:val="nil"/>
            </w:tcBorders>
          </w:tcPr>
          <w:p w:rsidR="00233034" w:rsidRPr="00D964F0" w:rsidRDefault="00233034" w:rsidP="00F605A5">
            <w:pPr>
              <w:widowControl w:val="0"/>
              <w:tabs>
                <w:tab w:val="decimal" w:pos="538"/>
              </w:tabs>
              <w:autoSpaceDE w:val="0"/>
              <w:autoSpaceDN w:val="0"/>
              <w:adjustRightInd w:val="0"/>
            </w:pPr>
            <w:r w:rsidRPr="00D964F0">
              <w:t>(0.157)</w:t>
            </w:r>
          </w:p>
        </w:tc>
      </w:tr>
      <w:tr w:rsidR="005E7FA4" w:rsidRPr="00B929C5" w:rsidTr="000D01B2">
        <w:trPr>
          <w:jc w:val="center"/>
        </w:trPr>
        <w:tc>
          <w:tcPr>
            <w:tcW w:w="0" w:type="auto"/>
          </w:tcPr>
          <w:p w:rsidR="005E7FA4"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Partisan nonalignment</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pPr>
          </w:p>
        </w:tc>
        <w:tc>
          <w:tcPr>
            <w:tcW w:w="1606" w:type="dxa"/>
          </w:tcPr>
          <w:p w:rsidR="005E7FA4" w:rsidRPr="00C51E33" w:rsidRDefault="005E7FA4" w:rsidP="000D01B2">
            <w:pPr>
              <w:widowControl w:val="0"/>
              <w:tabs>
                <w:tab w:val="decimal" w:pos="538"/>
              </w:tabs>
              <w:autoSpaceDE w:val="0"/>
              <w:autoSpaceDN w:val="0"/>
              <w:adjustRightInd w:val="0"/>
            </w:pPr>
            <w:r w:rsidRPr="00C51E33">
              <w:t>0.374</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pPr>
          </w:p>
        </w:tc>
      </w:tr>
      <w:tr w:rsidR="005E7FA4" w:rsidRPr="00B929C5" w:rsidTr="000D01B2">
        <w:trPr>
          <w:jc w:val="center"/>
        </w:trPr>
        <w:tc>
          <w:tcPr>
            <w:tcW w:w="0" w:type="auto"/>
          </w:tcPr>
          <w:p w:rsidR="005E7FA4" w:rsidRPr="000649B1"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pPr>
          </w:p>
        </w:tc>
        <w:tc>
          <w:tcPr>
            <w:tcW w:w="1606" w:type="dxa"/>
          </w:tcPr>
          <w:p w:rsidR="005E7FA4" w:rsidRPr="00C51E33" w:rsidRDefault="005E7FA4" w:rsidP="000D01B2">
            <w:pPr>
              <w:widowControl w:val="0"/>
              <w:tabs>
                <w:tab w:val="decimal" w:pos="538"/>
              </w:tabs>
              <w:autoSpaceDE w:val="0"/>
              <w:autoSpaceDN w:val="0"/>
              <w:adjustRightInd w:val="0"/>
            </w:pPr>
            <w:r w:rsidRPr="00C51E33">
              <w:t>(0.599)</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pPr>
          </w:p>
        </w:tc>
      </w:tr>
      <w:tr w:rsidR="005E7FA4" w:rsidRPr="00B929C5" w:rsidTr="000D01B2">
        <w:trPr>
          <w:jc w:val="center"/>
        </w:trPr>
        <w:tc>
          <w:tcPr>
            <w:tcW w:w="0" w:type="auto"/>
          </w:tcPr>
          <w:p w:rsidR="005E7FA4"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Judicial independence</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pPr>
          </w:p>
        </w:tc>
        <w:tc>
          <w:tcPr>
            <w:tcW w:w="1606" w:type="dxa"/>
          </w:tcPr>
          <w:p w:rsidR="005E7FA4" w:rsidRPr="00C51E33" w:rsidRDefault="005E7FA4" w:rsidP="000D01B2">
            <w:pPr>
              <w:widowControl w:val="0"/>
              <w:tabs>
                <w:tab w:val="decimal" w:pos="538"/>
              </w:tabs>
              <w:autoSpaceDE w:val="0"/>
              <w:autoSpaceDN w:val="0"/>
              <w:adjustRightInd w:val="0"/>
            </w:pPr>
            <w:r w:rsidRPr="00C51E33">
              <w:t>-0.154</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pPr>
          </w:p>
        </w:tc>
      </w:tr>
      <w:tr w:rsidR="005E7FA4" w:rsidRPr="00B929C5" w:rsidTr="000D01B2">
        <w:trPr>
          <w:jc w:val="center"/>
        </w:trPr>
        <w:tc>
          <w:tcPr>
            <w:tcW w:w="0" w:type="auto"/>
          </w:tcPr>
          <w:p w:rsidR="005E7FA4" w:rsidRPr="000649B1"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pPr>
          </w:p>
        </w:tc>
        <w:tc>
          <w:tcPr>
            <w:tcW w:w="1606" w:type="dxa"/>
          </w:tcPr>
          <w:p w:rsidR="005E7FA4" w:rsidRPr="00C51E33" w:rsidRDefault="005E7FA4" w:rsidP="000D01B2">
            <w:pPr>
              <w:widowControl w:val="0"/>
              <w:tabs>
                <w:tab w:val="decimal" w:pos="538"/>
              </w:tabs>
              <w:autoSpaceDE w:val="0"/>
              <w:autoSpaceDN w:val="0"/>
              <w:adjustRightInd w:val="0"/>
            </w:pPr>
            <w:r w:rsidRPr="00C51E33">
              <w:t>(0.167)</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pPr>
          </w:p>
        </w:tc>
      </w:tr>
      <w:tr w:rsidR="00592722" w:rsidRPr="00B929C5" w:rsidTr="000D01B2">
        <w:trPr>
          <w:jc w:val="center"/>
        </w:trPr>
        <w:tc>
          <w:tcPr>
            <w:tcW w:w="0" w:type="auto"/>
          </w:tcPr>
          <w:p w:rsidR="00592722"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Demonstrations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92722" w:rsidRPr="00592722" w:rsidRDefault="00592722" w:rsidP="00F605A5">
            <w:pPr>
              <w:widowControl w:val="0"/>
              <w:tabs>
                <w:tab w:val="decimal" w:pos="538"/>
              </w:tabs>
              <w:autoSpaceDE w:val="0"/>
              <w:autoSpaceDN w:val="0"/>
              <w:adjustRightInd w:val="0"/>
            </w:pPr>
            <w:r w:rsidRPr="00592722">
              <w:t>0.009</w:t>
            </w:r>
          </w:p>
        </w:tc>
        <w:tc>
          <w:tcPr>
            <w:tcW w:w="1606" w:type="dxa"/>
          </w:tcPr>
          <w:p w:rsidR="00592722" w:rsidRPr="00C51E33" w:rsidRDefault="00592722" w:rsidP="000D01B2">
            <w:pPr>
              <w:widowControl w:val="0"/>
              <w:tabs>
                <w:tab w:val="decimal" w:pos="538"/>
              </w:tabs>
              <w:autoSpaceDE w:val="0"/>
              <w:autoSpaceDN w:val="0"/>
              <w:adjustRightInd w:val="0"/>
            </w:pPr>
            <w:r w:rsidRPr="00C51E33">
              <w:t>0.175***</w:t>
            </w:r>
          </w:p>
        </w:tc>
        <w:tc>
          <w:tcPr>
            <w:tcW w:w="1880" w:type="dxa"/>
            <w:tcBorders>
              <w:right w:val="nil"/>
            </w:tcBorders>
          </w:tcPr>
          <w:p w:rsidR="00592722" w:rsidRPr="00C51E33" w:rsidRDefault="00592722" w:rsidP="000D01B2">
            <w:pPr>
              <w:widowControl w:val="0"/>
              <w:tabs>
                <w:tab w:val="decimal" w:pos="538"/>
              </w:tabs>
              <w:autoSpaceDE w:val="0"/>
              <w:autoSpaceDN w:val="0"/>
              <w:adjustRightInd w:val="0"/>
            </w:pPr>
          </w:p>
        </w:tc>
      </w:tr>
      <w:tr w:rsidR="00592722" w:rsidRPr="00B929C5" w:rsidTr="000D01B2">
        <w:trPr>
          <w:jc w:val="center"/>
        </w:trPr>
        <w:tc>
          <w:tcPr>
            <w:tcW w:w="0" w:type="auto"/>
          </w:tcPr>
          <w:p w:rsidR="00592722" w:rsidRPr="000649B1" w:rsidRDefault="00592722" w:rsidP="000D01B2">
            <w:pPr>
              <w:widowControl w:val="0"/>
              <w:autoSpaceDE w:val="0"/>
              <w:autoSpaceDN w:val="0"/>
              <w:adjustRightInd w:val="0"/>
            </w:pPr>
          </w:p>
        </w:tc>
        <w:tc>
          <w:tcPr>
            <w:tcW w:w="0" w:type="auto"/>
          </w:tcPr>
          <w:p w:rsidR="00592722" w:rsidRPr="00592722" w:rsidRDefault="00592722" w:rsidP="00F605A5">
            <w:pPr>
              <w:widowControl w:val="0"/>
              <w:tabs>
                <w:tab w:val="decimal" w:pos="538"/>
              </w:tabs>
              <w:autoSpaceDE w:val="0"/>
              <w:autoSpaceDN w:val="0"/>
              <w:adjustRightInd w:val="0"/>
            </w:pPr>
            <w:r w:rsidRPr="00592722">
              <w:t>(0.063)</w:t>
            </w:r>
          </w:p>
        </w:tc>
        <w:tc>
          <w:tcPr>
            <w:tcW w:w="1606" w:type="dxa"/>
          </w:tcPr>
          <w:p w:rsidR="00592722" w:rsidRPr="00C51E33" w:rsidRDefault="00592722" w:rsidP="000D01B2">
            <w:pPr>
              <w:widowControl w:val="0"/>
              <w:tabs>
                <w:tab w:val="decimal" w:pos="538"/>
              </w:tabs>
              <w:autoSpaceDE w:val="0"/>
              <w:autoSpaceDN w:val="0"/>
              <w:adjustRightInd w:val="0"/>
            </w:pPr>
            <w:r w:rsidRPr="00C51E33">
              <w:t>(0.062)</w:t>
            </w:r>
          </w:p>
        </w:tc>
        <w:tc>
          <w:tcPr>
            <w:tcW w:w="1880" w:type="dxa"/>
            <w:tcBorders>
              <w:right w:val="nil"/>
            </w:tcBorders>
          </w:tcPr>
          <w:p w:rsidR="00592722" w:rsidRPr="00C51E33" w:rsidRDefault="00592722" w:rsidP="000D01B2">
            <w:pPr>
              <w:widowControl w:val="0"/>
              <w:tabs>
                <w:tab w:val="decimal" w:pos="538"/>
              </w:tabs>
              <w:autoSpaceDE w:val="0"/>
              <w:autoSpaceDN w:val="0"/>
              <w:adjustRightInd w:val="0"/>
            </w:pPr>
          </w:p>
        </w:tc>
      </w:tr>
      <w:tr w:rsidR="00592722" w:rsidRPr="00B929C5" w:rsidTr="000D01B2">
        <w:trPr>
          <w:jc w:val="center"/>
        </w:trPr>
        <w:tc>
          <w:tcPr>
            <w:tcW w:w="0" w:type="auto"/>
          </w:tcPr>
          <w:p w:rsidR="00592722"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General strikes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92722" w:rsidRPr="00592722" w:rsidRDefault="00592722" w:rsidP="00F605A5">
            <w:pPr>
              <w:widowControl w:val="0"/>
              <w:tabs>
                <w:tab w:val="decimal" w:pos="538"/>
              </w:tabs>
              <w:autoSpaceDE w:val="0"/>
              <w:autoSpaceDN w:val="0"/>
              <w:adjustRightInd w:val="0"/>
            </w:pPr>
            <w:r w:rsidRPr="00592722">
              <w:t>0.001***</w:t>
            </w:r>
          </w:p>
        </w:tc>
        <w:tc>
          <w:tcPr>
            <w:tcW w:w="1606" w:type="dxa"/>
          </w:tcPr>
          <w:p w:rsidR="00592722" w:rsidRPr="00C51E33" w:rsidRDefault="00592722" w:rsidP="000D01B2">
            <w:pPr>
              <w:widowControl w:val="0"/>
              <w:tabs>
                <w:tab w:val="decimal" w:pos="538"/>
              </w:tabs>
              <w:autoSpaceDE w:val="0"/>
              <w:autoSpaceDN w:val="0"/>
              <w:adjustRightInd w:val="0"/>
            </w:pPr>
            <w:r w:rsidRPr="00C51E33">
              <w:t>0.368</w:t>
            </w:r>
          </w:p>
        </w:tc>
        <w:tc>
          <w:tcPr>
            <w:tcW w:w="1880" w:type="dxa"/>
            <w:tcBorders>
              <w:right w:val="nil"/>
            </w:tcBorders>
          </w:tcPr>
          <w:p w:rsidR="00592722" w:rsidRPr="00C51E33" w:rsidRDefault="00592722" w:rsidP="000D01B2">
            <w:pPr>
              <w:widowControl w:val="0"/>
              <w:tabs>
                <w:tab w:val="decimal" w:pos="538"/>
              </w:tabs>
              <w:autoSpaceDE w:val="0"/>
              <w:autoSpaceDN w:val="0"/>
              <w:adjustRightInd w:val="0"/>
            </w:pPr>
          </w:p>
        </w:tc>
      </w:tr>
      <w:tr w:rsidR="00592722" w:rsidRPr="00B929C5" w:rsidTr="000D01B2">
        <w:trPr>
          <w:jc w:val="center"/>
        </w:trPr>
        <w:tc>
          <w:tcPr>
            <w:tcW w:w="0" w:type="auto"/>
          </w:tcPr>
          <w:p w:rsidR="00592722" w:rsidRPr="000649B1" w:rsidRDefault="00592722" w:rsidP="000D01B2">
            <w:pPr>
              <w:widowControl w:val="0"/>
              <w:autoSpaceDE w:val="0"/>
              <w:autoSpaceDN w:val="0"/>
              <w:adjustRightInd w:val="0"/>
            </w:pPr>
          </w:p>
        </w:tc>
        <w:tc>
          <w:tcPr>
            <w:tcW w:w="0" w:type="auto"/>
          </w:tcPr>
          <w:p w:rsidR="00592722" w:rsidRPr="00592722" w:rsidRDefault="00592722" w:rsidP="00F605A5">
            <w:pPr>
              <w:widowControl w:val="0"/>
              <w:tabs>
                <w:tab w:val="decimal" w:pos="538"/>
              </w:tabs>
              <w:autoSpaceDE w:val="0"/>
              <w:autoSpaceDN w:val="0"/>
              <w:adjustRightInd w:val="0"/>
            </w:pPr>
            <w:r w:rsidRPr="00592722">
              <w:t>(0.000)</w:t>
            </w:r>
          </w:p>
        </w:tc>
        <w:tc>
          <w:tcPr>
            <w:tcW w:w="1606" w:type="dxa"/>
          </w:tcPr>
          <w:p w:rsidR="00592722" w:rsidRPr="00C51E33" w:rsidRDefault="00592722" w:rsidP="000D01B2">
            <w:pPr>
              <w:widowControl w:val="0"/>
              <w:tabs>
                <w:tab w:val="decimal" w:pos="538"/>
              </w:tabs>
              <w:autoSpaceDE w:val="0"/>
              <w:autoSpaceDN w:val="0"/>
              <w:adjustRightInd w:val="0"/>
            </w:pPr>
            <w:r w:rsidRPr="00C51E33">
              <w:t>(0.323)</w:t>
            </w:r>
          </w:p>
        </w:tc>
        <w:tc>
          <w:tcPr>
            <w:tcW w:w="1880" w:type="dxa"/>
            <w:tcBorders>
              <w:right w:val="nil"/>
            </w:tcBorders>
          </w:tcPr>
          <w:p w:rsidR="00592722" w:rsidRPr="00C51E33" w:rsidRDefault="00592722" w:rsidP="000D01B2">
            <w:pPr>
              <w:widowControl w:val="0"/>
              <w:tabs>
                <w:tab w:val="decimal" w:pos="538"/>
              </w:tabs>
              <w:autoSpaceDE w:val="0"/>
              <w:autoSpaceDN w:val="0"/>
              <w:adjustRightInd w:val="0"/>
            </w:pPr>
          </w:p>
        </w:tc>
      </w:tr>
      <w:tr w:rsidR="00592722" w:rsidRPr="00B929C5" w:rsidTr="000D01B2">
        <w:trPr>
          <w:jc w:val="center"/>
        </w:trPr>
        <w:tc>
          <w:tcPr>
            <w:tcW w:w="0" w:type="auto"/>
          </w:tcPr>
          <w:p w:rsidR="00592722"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Riots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92722" w:rsidRPr="00592722" w:rsidRDefault="00592722" w:rsidP="00F605A5">
            <w:pPr>
              <w:widowControl w:val="0"/>
              <w:tabs>
                <w:tab w:val="decimal" w:pos="538"/>
              </w:tabs>
              <w:autoSpaceDE w:val="0"/>
              <w:autoSpaceDN w:val="0"/>
              <w:adjustRightInd w:val="0"/>
            </w:pPr>
            <w:r w:rsidRPr="00592722">
              <w:t>-0.065</w:t>
            </w:r>
          </w:p>
        </w:tc>
        <w:tc>
          <w:tcPr>
            <w:tcW w:w="1606" w:type="dxa"/>
          </w:tcPr>
          <w:p w:rsidR="00592722" w:rsidRPr="00C51E33" w:rsidRDefault="00592722" w:rsidP="000D01B2">
            <w:pPr>
              <w:widowControl w:val="0"/>
              <w:tabs>
                <w:tab w:val="decimal" w:pos="538"/>
              </w:tabs>
              <w:autoSpaceDE w:val="0"/>
              <w:autoSpaceDN w:val="0"/>
              <w:adjustRightInd w:val="0"/>
            </w:pPr>
            <w:r w:rsidRPr="00C51E33">
              <w:t>-0.401***</w:t>
            </w:r>
          </w:p>
        </w:tc>
        <w:tc>
          <w:tcPr>
            <w:tcW w:w="1880" w:type="dxa"/>
            <w:tcBorders>
              <w:right w:val="nil"/>
            </w:tcBorders>
          </w:tcPr>
          <w:p w:rsidR="00592722" w:rsidRPr="00C51E33" w:rsidRDefault="00592722" w:rsidP="000D01B2">
            <w:pPr>
              <w:widowControl w:val="0"/>
              <w:tabs>
                <w:tab w:val="decimal" w:pos="538"/>
              </w:tabs>
              <w:autoSpaceDE w:val="0"/>
              <w:autoSpaceDN w:val="0"/>
              <w:adjustRightInd w:val="0"/>
            </w:pPr>
          </w:p>
        </w:tc>
      </w:tr>
      <w:tr w:rsidR="00592722" w:rsidRPr="00B929C5" w:rsidTr="000D01B2">
        <w:trPr>
          <w:jc w:val="center"/>
        </w:trPr>
        <w:tc>
          <w:tcPr>
            <w:tcW w:w="0" w:type="auto"/>
          </w:tcPr>
          <w:p w:rsidR="00592722" w:rsidRPr="000649B1" w:rsidRDefault="00592722" w:rsidP="000D01B2">
            <w:pPr>
              <w:widowControl w:val="0"/>
              <w:autoSpaceDE w:val="0"/>
              <w:autoSpaceDN w:val="0"/>
              <w:adjustRightInd w:val="0"/>
            </w:pPr>
          </w:p>
        </w:tc>
        <w:tc>
          <w:tcPr>
            <w:tcW w:w="0" w:type="auto"/>
          </w:tcPr>
          <w:p w:rsidR="00592722" w:rsidRPr="00592722" w:rsidRDefault="00592722" w:rsidP="00F605A5">
            <w:pPr>
              <w:widowControl w:val="0"/>
              <w:tabs>
                <w:tab w:val="decimal" w:pos="538"/>
              </w:tabs>
              <w:autoSpaceDE w:val="0"/>
              <w:autoSpaceDN w:val="0"/>
              <w:adjustRightInd w:val="0"/>
            </w:pPr>
            <w:r w:rsidRPr="00592722">
              <w:t>(0.091)</w:t>
            </w:r>
          </w:p>
        </w:tc>
        <w:tc>
          <w:tcPr>
            <w:tcW w:w="1606" w:type="dxa"/>
          </w:tcPr>
          <w:p w:rsidR="00592722" w:rsidRPr="00C51E33" w:rsidRDefault="00592722" w:rsidP="000D01B2">
            <w:pPr>
              <w:widowControl w:val="0"/>
              <w:tabs>
                <w:tab w:val="decimal" w:pos="538"/>
              </w:tabs>
              <w:autoSpaceDE w:val="0"/>
              <w:autoSpaceDN w:val="0"/>
              <w:adjustRightInd w:val="0"/>
            </w:pPr>
            <w:r w:rsidRPr="00C51E33">
              <w:t>(0.150)</w:t>
            </w:r>
          </w:p>
        </w:tc>
        <w:tc>
          <w:tcPr>
            <w:tcW w:w="1880" w:type="dxa"/>
            <w:tcBorders>
              <w:right w:val="nil"/>
            </w:tcBorders>
          </w:tcPr>
          <w:p w:rsidR="00592722" w:rsidRPr="00C51E33" w:rsidRDefault="00592722" w:rsidP="000D01B2">
            <w:pPr>
              <w:widowControl w:val="0"/>
              <w:tabs>
                <w:tab w:val="decimal" w:pos="538"/>
              </w:tabs>
              <w:autoSpaceDE w:val="0"/>
              <w:autoSpaceDN w:val="0"/>
              <w:adjustRightInd w:val="0"/>
            </w:pPr>
          </w:p>
        </w:tc>
      </w:tr>
      <w:tr w:rsidR="005E7FA4" w:rsidRPr="00B929C5" w:rsidTr="000D01B2">
        <w:trPr>
          <w:jc w:val="center"/>
        </w:trPr>
        <w:tc>
          <w:tcPr>
            <w:tcW w:w="0" w:type="auto"/>
          </w:tcPr>
          <w:p w:rsidR="005E7FA4"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Economic growth</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pPr>
          </w:p>
        </w:tc>
        <w:tc>
          <w:tcPr>
            <w:tcW w:w="1606" w:type="dxa"/>
          </w:tcPr>
          <w:p w:rsidR="005E7FA4" w:rsidRPr="00C51E33" w:rsidRDefault="005E7FA4" w:rsidP="000D01B2">
            <w:pPr>
              <w:widowControl w:val="0"/>
              <w:tabs>
                <w:tab w:val="decimal" w:pos="538"/>
              </w:tabs>
              <w:autoSpaceDE w:val="0"/>
              <w:autoSpaceDN w:val="0"/>
              <w:adjustRightInd w:val="0"/>
            </w:pPr>
            <w:r w:rsidRPr="00C51E33">
              <w:t>-0.004</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pPr>
          </w:p>
        </w:tc>
      </w:tr>
      <w:tr w:rsidR="005E7FA4" w:rsidRPr="00B929C5" w:rsidTr="000D01B2">
        <w:trPr>
          <w:jc w:val="center"/>
        </w:trPr>
        <w:tc>
          <w:tcPr>
            <w:tcW w:w="0" w:type="auto"/>
          </w:tcPr>
          <w:p w:rsidR="005E7FA4" w:rsidRPr="000649B1"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pPr>
          </w:p>
        </w:tc>
        <w:tc>
          <w:tcPr>
            <w:tcW w:w="1606" w:type="dxa"/>
          </w:tcPr>
          <w:p w:rsidR="005E7FA4" w:rsidRPr="00C51E33" w:rsidRDefault="005E7FA4" w:rsidP="000D01B2">
            <w:pPr>
              <w:widowControl w:val="0"/>
              <w:tabs>
                <w:tab w:val="decimal" w:pos="538"/>
              </w:tabs>
              <w:autoSpaceDE w:val="0"/>
              <w:autoSpaceDN w:val="0"/>
              <w:adjustRightInd w:val="0"/>
            </w:pPr>
            <w:r w:rsidRPr="00C51E33">
              <w:t>(0.015)</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pPr>
          </w:p>
        </w:tc>
      </w:tr>
      <w:tr w:rsidR="005E7FA4" w:rsidTr="000D01B2">
        <w:trPr>
          <w:jc w:val="center"/>
        </w:trPr>
        <w:tc>
          <w:tcPr>
            <w:tcW w:w="0" w:type="auto"/>
          </w:tcPr>
          <w:p w:rsidR="005E7FA4"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Nonalignment</m:t>
                    </m:r>
                    <m:r>
                      <m:rPr>
                        <m:sty m:val="p"/>
                      </m:rPr>
                      <w:rPr>
                        <w:rFonts w:hAnsi="Cambria Math"/>
                      </w:rPr>
                      <m:t>*</m:t>
                    </m:r>
                    <m:r>
                      <m:rPr>
                        <m:sty m:val="p"/>
                      </m:rPr>
                      <w:rPr>
                        <w:rFonts w:ascii="Cambria Math"/>
                      </w:rPr>
                      <m:t>demonstrations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-0.399*</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0649B1"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(0.233)</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Nonalignment</m:t>
                    </m:r>
                    <m:r>
                      <m:rPr>
                        <m:sty m:val="p"/>
                      </m:rPr>
                      <w:rPr>
                        <w:rFonts w:hAnsi="Cambria Math"/>
                      </w:rPr>
                      <m:t>*</m:t>
                    </m:r>
                    <m:r>
                      <m:rPr>
                        <m:sty m:val="p"/>
                      </m:rPr>
                      <w:rPr>
                        <w:rFonts w:ascii="Cambria Math"/>
                      </w:rPr>
                      <m:t>strikes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-2.574***</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0649B1"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(0.686)</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0649B1"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Nonalignment</m:t>
                    </m:r>
                    <m:r>
                      <m:rPr>
                        <m:sty m:val="p"/>
                      </m:rPr>
                      <w:rPr>
                        <w:rFonts w:hAnsi="Cambria Math"/>
                      </w:rPr>
                      <m:t>*</m:t>
                    </m:r>
                    <m:r>
                      <m:rPr>
                        <m:sty m:val="p"/>
                      </m:rPr>
                      <w:rPr>
                        <w:rFonts w:ascii="Cambria Math"/>
                      </w:rPr>
                      <m:t>riots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1.101***</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0649B1"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(0.333)</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vMerge w:val="restart"/>
          </w:tcPr>
          <w:p w:rsidR="005E7FA4" w:rsidRPr="003D719E"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Judicial Independence</m:t>
                    </m:r>
                    <m:r>
                      <m:rPr>
                        <m:sty m:val="p"/>
                      </m:rPr>
                      <w:rPr>
                        <w:rFonts w:ascii="Cambria Math" w:hAnsi="Cambria Math"/>
                      </w:rPr>
                      <m:t>*</m:t>
                    </m:r>
                    <m:r>
                      <m:rPr>
                        <m:sty m:val="p"/>
                      </m:rPr>
                      <w:rPr>
                        <w:rFonts w:ascii="Cambria Math"/>
                      </w:rPr>
                      <m:t>demonstrations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-0.022</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vMerge/>
          </w:tcPr>
          <w:p w:rsidR="005E7FA4" w:rsidRPr="003D719E"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(0.062)</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vMerge w:val="restart"/>
          </w:tcPr>
          <w:p w:rsidR="005E7FA4" w:rsidRPr="003D719E"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Judicial Independence</m:t>
                    </m:r>
                    <m:r>
                      <m:rPr>
                        <m:sty m:val="p"/>
                      </m:rPr>
                      <w:rPr>
                        <w:rFonts w:ascii="Cambria Math" w:hAnsi="Cambria Math"/>
                      </w:rPr>
                      <m:t>*</m:t>
                    </m:r>
                    <m:r>
                      <m:rPr>
                        <m:sty m:val="p"/>
                      </m:rPr>
                      <w:rPr>
                        <w:rFonts w:ascii="Cambria Math"/>
                      </w:rPr>
                      <m:t>strikes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0.264</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vMerge/>
          </w:tcPr>
          <w:p w:rsidR="005E7FA4" w:rsidRPr="00C51E33"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(0.161)</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C51E33" w:rsidRDefault="00101626" w:rsidP="000D01B2">
            <w:pPr>
              <w:widowControl w:val="0"/>
              <w:autoSpaceDE w:val="0"/>
              <w:autoSpaceDN w:val="0"/>
              <w:adjustRightInd w:val="0"/>
            </w:pPr>
            <m:oMathPara>
              <m:oMathParaPr>
                <m:jc m:val="left"/>
              </m:oMathParaPr>
              <m:oMath>
                <m:sSub>
                  <m:sSubPr>
                    <m:ctrlPr>
                      <w:rPr>
                        <w:rFonts w:ascii="Cambria Math" w:hAnsi="Cambria Math"/>
                      </w:rPr>
                    </m:ctrlPr>
                  </m:sSubPr>
                  <m:e>
                    <m:r>
                      <m:rPr>
                        <m:sty m:val="p"/>
                      </m:rPr>
                      <w:rPr>
                        <w:rFonts w:ascii="Cambria Math"/>
                      </w:rPr>
                      <m:t>Judicial Independence</m:t>
                    </m:r>
                    <m:r>
                      <m:rPr>
                        <m:sty m:val="p"/>
                      </m:rPr>
                      <w:rPr>
                        <w:rFonts w:hAnsi="Cambria Math"/>
                      </w:rPr>
                      <m:t>*</m:t>
                    </m:r>
                    <m:r>
                      <m:rPr>
                        <m:sty m:val="p"/>
                      </m:rPr>
                      <w:rPr>
                        <w:rFonts w:ascii="Cambria Math"/>
                      </w:rPr>
                      <m:t>riots</m:t>
                    </m:r>
                  </m:e>
                  <m:sub>
                    <m:r>
                      <m:rPr>
                        <m:sty m:val="p"/>
                      </m:rPr>
                      <w:rPr>
                        <w:rFonts w:ascii="Cambria Math"/>
                      </w:rPr>
                      <m:t>t</m:t>
                    </m:r>
                    <m:r>
                      <m:rPr>
                        <m:sty m:val="p"/>
                      </m:rPr>
                      <w:rPr>
                        <w:rFonts w:ascii="Cambria Math" w:hAnsi="Cambria Math"/>
                      </w:rPr>
                      <m:t>-</m:t>
                    </m:r>
                    <m:r>
                      <m:rPr>
                        <m:sty m:val="p"/>
                      </m:rPr>
                      <w:rPr>
                        <w:rFonts w:ascii="Cambria Math"/>
                      </w:rPr>
                      <m:t>1</m:t>
                    </m:r>
                  </m:sub>
                </m:sSub>
              </m:oMath>
            </m:oMathPara>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0.013</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C51E33" w:rsidRDefault="005E7FA4" w:rsidP="000D01B2">
            <w:pPr>
              <w:widowControl w:val="0"/>
              <w:autoSpaceDE w:val="0"/>
              <w:autoSpaceDN w:val="0"/>
              <w:adjustRightInd w:val="0"/>
            </w:pPr>
          </w:p>
        </w:tc>
        <w:tc>
          <w:tcPr>
            <w:tcW w:w="0" w:type="auto"/>
          </w:tcPr>
          <w:p w:rsidR="005E7FA4" w:rsidRPr="00C51E33" w:rsidRDefault="005E7FA4" w:rsidP="000D01B2">
            <w:pPr>
              <w:widowControl w:val="0"/>
              <w:tabs>
                <w:tab w:val="decimal" w:pos="538"/>
              </w:tabs>
              <w:autoSpaceDE w:val="0"/>
              <w:autoSpaceDN w:val="0"/>
              <w:adjustRightInd w:val="0"/>
              <w:jc w:val="center"/>
            </w:pPr>
          </w:p>
        </w:tc>
        <w:tc>
          <w:tcPr>
            <w:tcW w:w="1606" w:type="dxa"/>
          </w:tcPr>
          <w:p w:rsidR="005E7FA4" w:rsidRPr="00C51E33" w:rsidRDefault="005E7FA4" w:rsidP="000D01B2">
            <w:pPr>
              <w:widowControl w:val="0"/>
              <w:tabs>
                <w:tab w:val="decimal" w:pos="538"/>
              </w:tabs>
              <w:autoSpaceDE w:val="0"/>
              <w:autoSpaceDN w:val="0"/>
              <w:adjustRightInd w:val="0"/>
            </w:pPr>
            <w:r w:rsidRPr="00C51E33">
              <w:t>(0.080)</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p>
        </w:tc>
      </w:tr>
      <w:tr w:rsidR="005E7FA4" w:rsidTr="000D01B2">
        <w:trPr>
          <w:jc w:val="center"/>
        </w:trPr>
        <w:tc>
          <w:tcPr>
            <w:tcW w:w="0" w:type="auto"/>
          </w:tcPr>
          <w:p w:rsidR="005E7FA4" w:rsidRPr="00C51E33" w:rsidRDefault="005E7FA4" w:rsidP="000D01B2">
            <w:pPr>
              <w:widowControl w:val="0"/>
              <w:autoSpaceDE w:val="0"/>
              <w:autoSpaceDN w:val="0"/>
              <w:adjustRightInd w:val="0"/>
            </w:pPr>
            <w:r w:rsidRPr="00C51E33">
              <w:t>Number of countries</w:t>
            </w:r>
          </w:p>
        </w:tc>
        <w:tc>
          <w:tcPr>
            <w:tcW w:w="0" w:type="auto"/>
          </w:tcPr>
          <w:p w:rsidR="005E7FA4" w:rsidRPr="00C51E33" w:rsidRDefault="00592722" w:rsidP="000D01B2">
            <w:pPr>
              <w:widowControl w:val="0"/>
              <w:tabs>
                <w:tab w:val="decimal" w:pos="538"/>
              </w:tabs>
              <w:autoSpaceDE w:val="0"/>
              <w:autoSpaceDN w:val="0"/>
              <w:adjustRightInd w:val="0"/>
              <w:jc w:val="center"/>
            </w:pPr>
            <w:r>
              <w:t>58</w:t>
            </w:r>
          </w:p>
        </w:tc>
        <w:tc>
          <w:tcPr>
            <w:tcW w:w="1606" w:type="dxa"/>
          </w:tcPr>
          <w:p w:rsidR="005E7FA4" w:rsidRPr="00C51E33" w:rsidRDefault="005E7FA4" w:rsidP="000D01B2">
            <w:pPr>
              <w:widowControl w:val="0"/>
              <w:tabs>
                <w:tab w:val="decimal" w:pos="538"/>
              </w:tabs>
              <w:autoSpaceDE w:val="0"/>
              <w:autoSpaceDN w:val="0"/>
              <w:adjustRightInd w:val="0"/>
              <w:jc w:val="center"/>
            </w:pPr>
            <w:r w:rsidRPr="00C51E33">
              <w:t>78</w:t>
            </w:r>
          </w:p>
        </w:tc>
        <w:tc>
          <w:tcPr>
            <w:tcW w:w="1880" w:type="dxa"/>
            <w:tcBorders>
              <w:right w:val="nil"/>
            </w:tcBorders>
          </w:tcPr>
          <w:p w:rsidR="005E7FA4" w:rsidRPr="00C51E33" w:rsidRDefault="005E7FA4" w:rsidP="000D01B2">
            <w:pPr>
              <w:widowControl w:val="0"/>
              <w:tabs>
                <w:tab w:val="decimal" w:pos="538"/>
              </w:tabs>
              <w:autoSpaceDE w:val="0"/>
              <w:autoSpaceDN w:val="0"/>
              <w:adjustRightInd w:val="0"/>
              <w:jc w:val="center"/>
            </w:pPr>
            <w:r w:rsidRPr="00C51E33">
              <w:t>76</w:t>
            </w:r>
          </w:p>
        </w:tc>
      </w:tr>
      <w:tr w:rsidR="005E7FA4" w:rsidTr="000D01B2">
        <w:trPr>
          <w:jc w:val="center"/>
        </w:trPr>
        <w:tc>
          <w:tcPr>
            <w:tcW w:w="0" w:type="auto"/>
            <w:tcBorders>
              <w:bottom w:val="single" w:sz="6" w:space="0" w:color="auto"/>
            </w:tcBorders>
          </w:tcPr>
          <w:p w:rsidR="005E7FA4" w:rsidRPr="00C51E33" w:rsidRDefault="005E7FA4" w:rsidP="000D01B2">
            <w:pPr>
              <w:widowControl w:val="0"/>
              <w:autoSpaceDE w:val="0"/>
              <w:autoSpaceDN w:val="0"/>
              <w:adjustRightInd w:val="0"/>
            </w:pPr>
            <w:r w:rsidRPr="00C51E33">
              <w:t>Number of observations:</w:t>
            </w:r>
          </w:p>
        </w:tc>
        <w:tc>
          <w:tcPr>
            <w:tcW w:w="0" w:type="auto"/>
            <w:tcBorders>
              <w:bottom w:val="single" w:sz="6" w:space="0" w:color="auto"/>
            </w:tcBorders>
          </w:tcPr>
          <w:p w:rsidR="005E7FA4" w:rsidRPr="00C51E33" w:rsidRDefault="00233034" w:rsidP="000D01B2">
            <w:pPr>
              <w:widowControl w:val="0"/>
              <w:tabs>
                <w:tab w:val="decimal" w:pos="538"/>
              </w:tabs>
              <w:autoSpaceDE w:val="0"/>
              <w:autoSpaceDN w:val="0"/>
              <w:adjustRightInd w:val="0"/>
              <w:jc w:val="center"/>
            </w:pPr>
            <w:r w:rsidRPr="00233034">
              <w:t>567</w:t>
            </w:r>
          </w:p>
        </w:tc>
        <w:tc>
          <w:tcPr>
            <w:tcW w:w="1606" w:type="dxa"/>
            <w:tcBorders>
              <w:bottom w:val="single" w:sz="6" w:space="0" w:color="auto"/>
            </w:tcBorders>
          </w:tcPr>
          <w:p w:rsidR="005E7FA4" w:rsidRPr="00C51E33" w:rsidRDefault="005E7FA4" w:rsidP="000D01B2">
            <w:pPr>
              <w:widowControl w:val="0"/>
              <w:tabs>
                <w:tab w:val="decimal" w:pos="538"/>
              </w:tabs>
              <w:autoSpaceDE w:val="0"/>
              <w:autoSpaceDN w:val="0"/>
              <w:adjustRightInd w:val="0"/>
              <w:jc w:val="center"/>
            </w:pPr>
            <w:r w:rsidRPr="00C51E33">
              <w:t>1411</w:t>
            </w:r>
          </w:p>
        </w:tc>
        <w:tc>
          <w:tcPr>
            <w:tcW w:w="1880" w:type="dxa"/>
            <w:tcBorders>
              <w:bottom w:val="single" w:sz="6" w:space="0" w:color="auto"/>
              <w:right w:val="nil"/>
            </w:tcBorders>
          </w:tcPr>
          <w:p w:rsidR="005E7FA4" w:rsidRPr="00C51E33" w:rsidRDefault="005E7FA4" w:rsidP="00D964F0">
            <w:pPr>
              <w:widowControl w:val="0"/>
              <w:tabs>
                <w:tab w:val="decimal" w:pos="538"/>
              </w:tabs>
              <w:autoSpaceDE w:val="0"/>
              <w:autoSpaceDN w:val="0"/>
              <w:adjustRightInd w:val="0"/>
              <w:jc w:val="center"/>
            </w:pPr>
            <w:r w:rsidRPr="00C51E33">
              <w:t>7</w:t>
            </w:r>
            <w:r w:rsidR="00D964F0">
              <w:t>42</w:t>
            </w:r>
          </w:p>
        </w:tc>
      </w:tr>
    </w:tbl>
    <w:p w:rsidR="005E7FA4" w:rsidRDefault="005E7FA4" w:rsidP="005E7FA4">
      <w:r w:rsidRPr="00154A63">
        <w:t>Notes:</w:t>
      </w:r>
      <w:r>
        <w:t xml:space="preserve"> </w:t>
      </w:r>
      <w:r w:rsidR="001D6089">
        <w:t xml:space="preserve">Strikes and lockouts </w:t>
      </w:r>
      <w:r w:rsidR="00592722">
        <w:t xml:space="preserve">are </w:t>
      </w:r>
      <w:r w:rsidR="001D6089">
        <w:t xml:space="preserve">used to model workers’ rights, general strikes to model executive constraints and women’s political rights. </w:t>
      </w:r>
      <w:r>
        <w:t xml:space="preserve">Coefficients imply probabilities. Robust standard errors to adjust for any pattern of </w:t>
      </w:r>
      <w:proofErr w:type="spellStart"/>
      <w:r>
        <w:t>heteroskedasticity</w:t>
      </w:r>
      <w:proofErr w:type="spellEnd"/>
      <w:r>
        <w:t xml:space="preserve"> and autocorrelation are given in parentheses. All models include a constant (not reported) and random effects for countries. </w:t>
      </w:r>
    </w:p>
    <w:p w:rsidR="005E7FA4" w:rsidRDefault="005E7FA4" w:rsidP="005E7FA4">
      <w:pPr>
        <w:spacing w:after="200" w:line="276" w:lineRule="auto"/>
      </w:pPr>
      <w:r>
        <w:br w:type="page"/>
      </w:r>
    </w:p>
    <w:p w:rsidR="00747B9D" w:rsidRDefault="00747B9D" w:rsidP="00747B9D">
      <w:pPr>
        <w:tabs>
          <w:tab w:val="left" w:pos="975"/>
        </w:tabs>
        <w:jc w:val="center"/>
      </w:pPr>
    </w:p>
    <w:p w:rsidR="002F0E22" w:rsidRDefault="005E7FA4" w:rsidP="00747B9D">
      <w:pPr>
        <w:tabs>
          <w:tab w:val="left" w:pos="975"/>
        </w:tabs>
        <w:spacing w:line="480" w:lineRule="auto"/>
      </w:pPr>
      <w:r>
        <w:tab/>
      </w:r>
      <w:r w:rsidR="00747B9D">
        <w:t>As Ta</w:t>
      </w:r>
      <w:r w:rsidR="00E152CF">
        <w:t xml:space="preserve">ble </w:t>
      </w:r>
      <w:r w:rsidR="005A4F70">
        <w:t>2</w:t>
      </w:r>
      <w:r w:rsidR="00E152CF">
        <w:t xml:space="preserve"> indicate</w:t>
      </w:r>
      <w:r w:rsidR="00295FEF">
        <w:t>s</w:t>
      </w:r>
      <w:r w:rsidR="00E152CF">
        <w:t xml:space="preserve">, </w:t>
      </w:r>
      <w:r w:rsidR="00537856">
        <w:t xml:space="preserve">the </w:t>
      </w:r>
      <w:r w:rsidR="008603B4">
        <w:t xml:space="preserve">results for the </w:t>
      </w:r>
      <w:r w:rsidR="00537856">
        <w:t xml:space="preserve">most part support the hypothesized relationships, particularly for the stock variables expected to control for the historical tendency of certain countries to be more democratic than others. </w:t>
      </w:r>
      <w:proofErr w:type="gramStart"/>
      <w:r w:rsidR="001D6089">
        <w:t xml:space="preserve">As expected, left governments </w:t>
      </w:r>
      <w:r w:rsidR="00727310">
        <w:t xml:space="preserve">and political competition </w:t>
      </w:r>
      <w:r w:rsidR="001D6089">
        <w:t xml:space="preserve">increase </w:t>
      </w:r>
      <w:proofErr w:type="spellStart"/>
      <w:r w:rsidR="001D6089">
        <w:t>workers</w:t>
      </w:r>
      <w:proofErr w:type="spellEnd"/>
      <w:r w:rsidR="001D6089">
        <w:t xml:space="preserve"> rights</w:t>
      </w:r>
      <w:r w:rsidR="00727310">
        <w:t xml:space="preserve"> and women’s political rights respectively</w:t>
      </w:r>
      <w:r w:rsidR="001D6089">
        <w:t>.</w:t>
      </w:r>
      <w:proofErr w:type="gramEnd"/>
      <w:r w:rsidR="001D6089">
        <w:t xml:space="preserve"> </w:t>
      </w:r>
      <w:r w:rsidR="004B7AB6">
        <w:t xml:space="preserve">Table 2 also reveals that </w:t>
      </w:r>
      <w:r w:rsidR="001D6089">
        <w:rPr>
          <w:i/>
        </w:rPr>
        <w:t>strikes and lockouts</w:t>
      </w:r>
      <w:r w:rsidR="004B7AB6">
        <w:t xml:space="preserve"> </w:t>
      </w:r>
      <w:r w:rsidR="001D6089">
        <w:t xml:space="preserve">in the previous year help </w:t>
      </w:r>
      <w:r w:rsidR="004B7AB6">
        <w:t>promote workers’ rights</w:t>
      </w:r>
      <w:r w:rsidR="001D6089">
        <w:t xml:space="preserve"> in the current one</w:t>
      </w:r>
      <w:r w:rsidR="004B7AB6">
        <w:t xml:space="preserve">. </w:t>
      </w:r>
    </w:p>
    <w:p w:rsidR="00BA6E69" w:rsidRDefault="002F0E22" w:rsidP="00747B9D">
      <w:pPr>
        <w:tabs>
          <w:tab w:val="left" w:pos="975"/>
        </w:tabs>
        <w:spacing w:line="480" w:lineRule="auto"/>
      </w:pPr>
      <w:r>
        <w:tab/>
      </w:r>
      <w:r w:rsidR="007A4620">
        <w:t xml:space="preserve">When a continuous variable is interacted with another continuous variable, the coefficient on the </w:t>
      </w:r>
      <w:r w:rsidR="0021033A">
        <w:t xml:space="preserve">individual variables return their effect when the other variable is </w:t>
      </w:r>
      <w:r w:rsidR="0052410A">
        <w:t>“</w:t>
      </w:r>
      <w:r w:rsidR="0021033A">
        <w:t>0</w:t>
      </w:r>
      <w:r w:rsidR="0052410A">
        <w:t>.”</w:t>
      </w:r>
      <w:r w:rsidR="004B7AB6">
        <w:t xml:space="preserve"> Considering the statistically significant coefficients for </w:t>
      </w:r>
      <w:r w:rsidR="004B7AB6" w:rsidRPr="004B7AB6">
        <w:rPr>
          <w:i/>
        </w:rPr>
        <w:t>anti-government demonstrations</w:t>
      </w:r>
      <w:r w:rsidR="004B7AB6">
        <w:t xml:space="preserve"> and </w:t>
      </w:r>
      <w:r w:rsidR="004B7AB6" w:rsidRPr="004B7AB6">
        <w:rPr>
          <w:i/>
        </w:rPr>
        <w:t>riots</w:t>
      </w:r>
      <w:r w:rsidR="004B7AB6">
        <w:t xml:space="preserve"> in the model of </w:t>
      </w:r>
      <w:r w:rsidR="004B7AB6" w:rsidRPr="00BA6E69">
        <w:rPr>
          <w:i/>
        </w:rPr>
        <w:t>executive constraints</w:t>
      </w:r>
      <w:r w:rsidR="004B7AB6">
        <w:t xml:space="preserve">, and the significant interactive effects between these two variables and </w:t>
      </w:r>
      <w:r w:rsidR="004B7AB6">
        <w:rPr>
          <w:i/>
        </w:rPr>
        <w:t>partisan nonalignment</w:t>
      </w:r>
      <w:r w:rsidR="004B7AB6">
        <w:t xml:space="preserve">, the individual coefficients on the protest variables reveal their effect when </w:t>
      </w:r>
      <w:r w:rsidR="004B7AB6" w:rsidRPr="004B7AB6">
        <w:rPr>
          <w:i/>
        </w:rPr>
        <w:t>policy nonalignment</w:t>
      </w:r>
      <w:r w:rsidR="004B7AB6">
        <w:t xml:space="preserve"> is </w:t>
      </w:r>
      <w:r w:rsidR="0052410A">
        <w:t>“</w:t>
      </w:r>
      <w:r w:rsidR="004B7AB6">
        <w:t>0</w:t>
      </w:r>
      <w:r w:rsidR="0052410A">
        <w:t>,”</w:t>
      </w:r>
      <w:r w:rsidR="004B7AB6">
        <w:t xml:space="preserve"> that is, when the government is cohesive. As a result, we are able to conclude that </w:t>
      </w:r>
      <w:r w:rsidR="004B7AB6" w:rsidRPr="004B7AB6">
        <w:rPr>
          <w:i/>
        </w:rPr>
        <w:t>demonstrations</w:t>
      </w:r>
      <w:r>
        <w:t xml:space="preserve"> in the prior year constrain</w:t>
      </w:r>
      <w:r w:rsidR="004B7AB6">
        <w:t xml:space="preserve"> executives the following year </w:t>
      </w:r>
      <w:r w:rsidR="002641D9">
        <w:t xml:space="preserve">when the government in the prior year is also cohesive. When the government is divided, they </w:t>
      </w:r>
      <w:r w:rsidR="00560A60">
        <w:t xml:space="preserve">instead </w:t>
      </w:r>
      <w:r w:rsidR="002641D9">
        <w:t>emp</w:t>
      </w:r>
      <w:r w:rsidR="00560A60">
        <w:t>ower the chief executive</w:t>
      </w:r>
      <w:r w:rsidR="00CC0F50">
        <w:t xml:space="preserve">. The opposite pattern holds for </w:t>
      </w:r>
      <w:r w:rsidR="00CC0F50">
        <w:rPr>
          <w:i/>
        </w:rPr>
        <w:t>riots</w:t>
      </w:r>
      <w:r w:rsidR="00CC0F50">
        <w:t>,</w:t>
      </w:r>
      <w:r w:rsidR="00CC0F50">
        <w:rPr>
          <w:i/>
        </w:rPr>
        <w:t xml:space="preserve"> </w:t>
      </w:r>
      <w:r w:rsidR="002641D9">
        <w:t xml:space="preserve">empowering chief executives when the government is cohesive, constraining </w:t>
      </w:r>
      <w:r w:rsidR="00CC0F50">
        <w:t>them</w:t>
      </w:r>
      <w:r w:rsidR="002641D9">
        <w:t xml:space="preserve"> when there are competing </w:t>
      </w:r>
      <w:r w:rsidR="00CC0F50">
        <w:t>power centers</w:t>
      </w:r>
      <w:r w:rsidR="002641D9">
        <w:t xml:space="preserve">. </w:t>
      </w:r>
    </w:p>
    <w:p w:rsidR="007B23AF" w:rsidRDefault="00C841F3" w:rsidP="00747B9D">
      <w:pPr>
        <w:tabs>
          <w:tab w:val="left" w:pos="975"/>
        </w:tabs>
        <w:spacing w:line="480" w:lineRule="auto"/>
      </w:pPr>
      <w:r>
        <w:tab/>
        <w:t>Partisan actors in the government matter</w:t>
      </w:r>
      <w:r w:rsidR="00BA6E69">
        <w:t xml:space="preserve"> then not only because they can channel grievances into the political system (Rice 2012, 20), but also because they shape the cohesion of the government. </w:t>
      </w:r>
      <w:r w:rsidR="00F97B90">
        <w:t xml:space="preserve">In Latin America from 1978 to 2003, for example, minority presidents were more likely to be challenged in the streets and to fall than majority executives (Hochstetler 2006). We also know that the proportional representation electoral rules common in </w:t>
      </w:r>
      <w:r w:rsidR="00D63ADB">
        <w:t>Latin America tend to yield</w:t>
      </w:r>
      <w:r w:rsidR="00F97B90">
        <w:t xml:space="preserve"> governments where the president’s party </w:t>
      </w:r>
      <w:r>
        <w:t>is in the minority in parliament</w:t>
      </w:r>
      <w:r w:rsidR="00F97B90">
        <w:t xml:space="preserve">. </w:t>
      </w:r>
      <w:r w:rsidR="007B23AF">
        <w:lastRenderedPageBreak/>
        <w:t xml:space="preserve">An important question then is why government cohesion functions differently depending on the form of protest </w:t>
      </w:r>
      <w:proofErr w:type="gramStart"/>
      <w:r w:rsidR="001D6089">
        <w:t>dissidents</w:t>
      </w:r>
      <w:proofErr w:type="gramEnd"/>
      <w:r w:rsidR="001D6089">
        <w:t xml:space="preserve"> </w:t>
      </w:r>
      <w:r w:rsidR="007B23AF">
        <w:t xml:space="preserve">use. </w:t>
      </w:r>
    </w:p>
    <w:p w:rsidR="002641D9" w:rsidRDefault="007B23AF" w:rsidP="00747B9D">
      <w:pPr>
        <w:tabs>
          <w:tab w:val="left" w:pos="975"/>
        </w:tabs>
        <w:spacing w:line="480" w:lineRule="auto"/>
      </w:pPr>
      <w:r>
        <w:tab/>
      </w:r>
      <w:r w:rsidR="00B4562C">
        <w:t xml:space="preserve">Dahl’s (1971) distinction between the costs of toleration </w:t>
      </w:r>
      <w:r w:rsidR="002F0E22">
        <w:t>and</w:t>
      </w:r>
      <w:r w:rsidR="00B4562C">
        <w:t xml:space="preserve"> repression </w:t>
      </w:r>
      <w:r w:rsidR="002F0E22">
        <w:t>helps clarify</w:t>
      </w:r>
      <w:r w:rsidR="00855FF6">
        <w:t xml:space="preserve"> these </w:t>
      </w:r>
      <w:r w:rsidR="00560A60">
        <w:t>findings</w:t>
      </w:r>
      <w:r w:rsidR="00F513D1">
        <w:t>,</w:t>
      </w:r>
      <w:r w:rsidR="00B4562C">
        <w:t xml:space="preserve"> as governments, in the face of </w:t>
      </w:r>
      <w:r w:rsidR="00EB235B">
        <w:t>overt</w:t>
      </w:r>
      <w:r w:rsidR="00B4562C">
        <w:t xml:space="preserve"> dissent, </w:t>
      </w:r>
      <w:r w:rsidR="00855FF6">
        <w:t>have to choose from a spectrum of responses that ranges from yiel</w:t>
      </w:r>
      <w:r>
        <w:t>ding to</w:t>
      </w:r>
      <w:r w:rsidR="00A944F4">
        <w:t xml:space="preserve"> protest</w:t>
      </w:r>
      <w:r w:rsidR="00214E1D">
        <w:t>e</w:t>
      </w:r>
      <w:r w:rsidR="00A944F4">
        <w:t>rs’ demands</w:t>
      </w:r>
      <w:r w:rsidR="00855FF6">
        <w:t xml:space="preserve"> </w:t>
      </w:r>
      <w:r w:rsidR="007728F5">
        <w:t>to</w:t>
      </w:r>
      <w:r w:rsidR="00855FF6">
        <w:t xml:space="preserve"> going on the offensive against them</w:t>
      </w:r>
      <w:r w:rsidR="00B4562C">
        <w:t xml:space="preserve">. </w:t>
      </w:r>
      <w:r w:rsidR="00560A60">
        <w:t>Peaceful</w:t>
      </w:r>
      <w:r w:rsidR="002641D9">
        <w:t xml:space="preserve"> rallies confer more legitimacy</w:t>
      </w:r>
      <w:r w:rsidR="00B4562C">
        <w:t xml:space="preserve"> on</w:t>
      </w:r>
      <w:r w:rsidR="002377D1">
        <w:t xml:space="preserve"> protest</w:t>
      </w:r>
      <w:r w:rsidR="00214E1D">
        <w:t>e</w:t>
      </w:r>
      <w:r w:rsidR="002377D1">
        <w:t>rs tha</w:t>
      </w:r>
      <w:r w:rsidR="002641D9">
        <w:t xml:space="preserve">n violent ones. Consequently, </w:t>
      </w:r>
      <w:r w:rsidR="002377D1">
        <w:t>chief executives</w:t>
      </w:r>
      <w:r w:rsidR="002641D9">
        <w:t xml:space="preserve"> </w:t>
      </w:r>
      <w:r w:rsidR="002377D1">
        <w:t xml:space="preserve">may be more willing to </w:t>
      </w:r>
      <w:r w:rsidR="00855FF6">
        <w:t>accept constraints</w:t>
      </w:r>
      <w:r w:rsidR="002377D1">
        <w:t xml:space="preserve"> when </w:t>
      </w:r>
      <w:r w:rsidR="00B4562C">
        <w:t>protest</w:t>
      </w:r>
      <w:r w:rsidR="00214E1D">
        <w:t>e</w:t>
      </w:r>
      <w:r w:rsidR="00B4562C">
        <w:t>rs</w:t>
      </w:r>
      <w:r w:rsidR="002377D1">
        <w:t xml:space="preserve"> behave peacefully, particularly if </w:t>
      </w:r>
      <w:r w:rsidR="002F0E22">
        <w:t>other government branches are ideologically congruent with the executive and hence do not pose a threat to its agenda</w:t>
      </w:r>
      <w:r w:rsidR="002641D9">
        <w:t xml:space="preserve">. </w:t>
      </w:r>
      <w:r w:rsidR="002F0E22">
        <w:t xml:space="preserve">A </w:t>
      </w:r>
      <w:r w:rsidR="002641D9">
        <w:t xml:space="preserve">riot </w:t>
      </w:r>
      <w:r>
        <w:t>on the other hand</w:t>
      </w:r>
      <w:r w:rsidR="002F0E22">
        <w:t xml:space="preserve"> </w:t>
      </w:r>
      <w:r w:rsidR="002641D9">
        <w:t xml:space="preserve">can begin as a peaceful demonstration </w:t>
      </w:r>
      <w:r w:rsidR="002377D1">
        <w:t>and then turn</w:t>
      </w:r>
      <w:r w:rsidR="002641D9">
        <w:t xml:space="preserve"> violent. We have no way of knowing whether </w:t>
      </w:r>
      <w:r w:rsidR="002377D1" w:rsidRPr="007B23AF">
        <w:rPr>
          <w:i/>
        </w:rPr>
        <w:t>riots</w:t>
      </w:r>
      <w:r w:rsidR="002377D1">
        <w:t xml:space="preserve"> occurred </w:t>
      </w:r>
      <w:r w:rsidR="002641D9">
        <w:t>because protest</w:t>
      </w:r>
      <w:r w:rsidR="00214E1D">
        <w:t>e</w:t>
      </w:r>
      <w:r w:rsidR="002641D9">
        <w:t xml:space="preserve">rs or the </w:t>
      </w:r>
      <w:r>
        <w:t xml:space="preserve">government used violence first, but we can reason that riots would </w:t>
      </w:r>
      <w:r w:rsidR="00F97B90">
        <w:t xml:space="preserve">be </w:t>
      </w:r>
      <w:r>
        <w:t xml:space="preserve">less legitimate </w:t>
      </w:r>
      <w:r w:rsidR="00E758CA">
        <w:t xml:space="preserve">in the public’s eye </w:t>
      </w:r>
      <w:r>
        <w:t xml:space="preserve">than demonstrations and that this would embolden executives that do not face political competition. </w:t>
      </w:r>
      <w:r w:rsidR="00A944F4">
        <w:t xml:space="preserve">By looking at </w:t>
      </w:r>
      <w:r w:rsidR="00A944F4">
        <w:rPr>
          <w:i/>
        </w:rPr>
        <w:t>riots</w:t>
      </w:r>
      <w:r w:rsidR="00A944F4">
        <w:t xml:space="preserve"> and </w:t>
      </w:r>
      <w:r w:rsidR="00A944F4" w:rsidRPr="002377D1">
        <w:rPr>
          <w:i/>
        </w:rPr>
        <w:t xml:space="preserve">partisan </w:t>
      </w:r>
      <w:r w:rsidR="00A944F4">
        <w:rPr>
          <w:i/>
        </w:rPr>
        <w:t>non</w:t>
      </w:r>
      <w:r w:rsidR="00A944F4" w:rsidRPr="002377D1">
        <w:rPr>
          <w:i/>
        </w:rPr>
        <w:t>alignment</w:t>
      </w:r>
      <w:r w:rsidR="00A944F4">
        <w:t xml:space="preserve"> a year prior to </w:t>
      </w:r>
      <w:r w:rsidR="005A6940">
        <w:t>the observed</w:t>
      </w:r>
      <w:r w:rsidR="00A944F4">
        <w:t xml:space="preserve"> behavior of executives, we are </w:t>
      </w:r>
      <w:r w:rsidR="00F97B90">
        <w:t xml:space="preserve">thus </w:t>
      </w:r>
      <w:r w:rsidR="00A944F4">
        <w:t xml:space="preserve">more certain that </w:t>
      </w:r>
      <w:r>
        <w:t xml:space="preserve">our data is not simply </w:t>
      </w:r>
      <w:r w:rsidR="00E758CA">
        <w:t xml:space="preserve">picking up the reverse effect of </w:t>
      </w:r>
      <w:r>
        <w:t>protest</w:t>
      </w:r>
      <w:r w:rsidR="00214E1D">
        <w:t>e</w:t>
      </w:r>
      <w:r>
        <w:t>rs resort</w:t>
      </w:r>
      <w:r w:rsidR="00E758CA">
        <w:t>ing</w:t>
      </w:r>
      <w:r>
        <w:t xml:space="preserve"> to violence in response to a </w:t>
      </w:r>
      <w:r w:rsidR="00C841F3">
        <w:t xml:space="preserve">heavy-handed </w:t>
      </w:r>
      <w:r>
        <w:t xml:space="preserve">executive; </w:t>
      </w:r>
      <w:r w:rsidR="00E758CA">
        <w:t>most likely</w:t>
      </w:r>
      <w:r>
        <w:t xml:space="preserve">, </w:t>
      </w:r>
      <w:r w:rsidR="00A944F4">
        <w:t xml:space="preserve">executives became more constrained in response to rioters and other actors in the government. </w:t>
      </w:r>
    </w:p>
    <w:p w:rsidR="00764535" w:rsidRDefault="008B20B2" w:rsidP="00764535">
      <w:pPr>
        <w:tabs>
          <w:tab w:val="left" w:pos="975"/>
        </w:tabs>
        <w:spacing w:line="480" w:lineRule="auto"/>
      </w:pPr>
      <w:r>
        <w:tab/>
        <w:t>Fina</w:t>
      </w:r>
      <w:r w:rsidR="00CA6B83">
        <w:t>lly, it is important to note that</w:t>
      </w:r>
      <w:r>
        <w:t xml:space="preserve"> </w:t>
      </w:r>
      <w:r w:rsidRPr="008B20B2">
        <w:rPr>
          <w:i/>
        </w:rPr>
        <w:t>general strikes</w:t>
      </w:r>
      <w:r>
        <w:t xml:space="preserve"> are detrimental to </w:t>
      </w:r>
      <w:r>
        <w:rPr>
          <w:i/>
        </w:rPr>
        <w:t>women’s political rights</w:t>
      </w:r>
      <w:r>
        <w:t xml:space="preserve">, but not in the presence of </w:t>
      </w:r>
      <w:r>
        <w:rPr>
          <w:i/>
        </w:rPr>
        <w:t>judicial independence</w:t>
      </w:r>
      <w:r>
        <w:t xml:space="preserve">. </w:t>
      </w:r>
      <w:r w:rsidR="00764535">
        <w:t>Some have noted that a favorable political opportunity structure promotes high levels of women’s representation in the</w:t>
      </w:r>
    </w:p>
    <w:p w:rsidR="006834C1" w:rsidRDefault="00764535" w:rsidP="00764535">
      <w:pPr>
        <w:tabs>
          <w:tab w:val="left" w:pos="975"/>
        </w:tabs>
        <w:spacing w:line="480" w:lineRule="auto"/>
      </w:pPr>
      <w:proofErr w:type="gramStart"/>
      <w:r>
        <w:t>executive</w:t>
      </w:r>
      <w:proofErr w:type="gramEnd"/>
      <w:r>
        <w:t xml:space="preserve"> and parliament (</w:t>
      </w:r>
      <w:proofErr w:type="spellStart"/>
      <w:r>
        <w:t>Waylen</w:t>
      </w:r>
      <w:proofErr w:type="spellEnd"/>
      <w:r>
        <w:t xml:space="preserve"> 2007, 522). </w:t>
      </w:r>
      <w:r w:rsidR="008B20B2">
        <w:t xml:space="preserve">A more independent judiciary serves to ensure that governments do not trample on the political rights of women. </w:t>
      </w:r>
    </w:p>
    <w:p w:rsidR="006C422B" w:rsidRDefault="006C422B" w:rsidP="006C422B">
      <w:pPr>
        <w:tabs>
          <w:tab w:val="left" w:pos="975"/>
        </w:tabs>
      </w:pPr>
    </w:p>
    <w:p w:rsidR="00611F40" w:rsidRDefault="00611F40" w:rsidP="00747B9D">
      <w:pPr>
        <w:tabs>
          <w:tab w:val="left" w:pos="975"/>
        </w:tabs>
        <w:spacing w:line="480" w:lineRule="auto"/>
        <w:rPr>
          <w:b/>
        </w:rPr>
      </w:pPr>
      <w:r w:rsidRPr="00611F40">
        <w:rPr>
          <w:b/>
        </w:rPr>
        <w:t>Conclusion</w:t>
      </w:r>
    </w:p>
    <w:p w:rsidR="006C422B" w:rsidRPr="00611F40" w:rsidRDefault="006C422B" w:rsidP="006C422B">
      <w:pPr>
        <w:tabs>
          <w:tab w:val="left" w:pos="975"/>
        </w:tabs>
        <w:rPr>
          <w:b/>
        </w:rPr>
      </w:pPr>
    </w:p>
    <w:p w:rsidR="00611F40" w:rsidRDefault="00611F40" w:rsidP="00747B9D">
      <w:pPr>
        <w:tabs>
          <w:tab w:val="left" w:pos="975"/>
        </w:tabs>
        <w:spacing w:line="480" w:lineRule="auto"/>
      </w:pPr>
      <w:r>
        <w:tab/>
        <w:t xml:space="preserve">This </w:t>
      </w:r>
      <w:r w:rsidR="003674D8">
        <w:t>article</w:t>
      </w:r>
      <w:r>
        <w:t xml:space="preserve"> has systematically examined the contribution of social protest to </w:t>
      </w:r>
      <w:r w:rsidR="008E2A31">
        <w:t>institutional</w:t>
      </w:r>
      <w:r>
        <w:t xml:space="preserve"> reforms </w:t>
      </w:r>
      <w:r w:rsidR="002D07DA">
        <w:t>in democratic countries</w:t>
      </w:r>
      <w:r>
        <w:t xml:space="preserve">. </w:t>
      </w:r>
      <w:r w:rsidR="00BF7679">
        <w:t>As expected, o</w:t>
      </w:r>
      <w:r>
        <w:t>ther va</w:t>
      </w:r>
      <w:r w:rsidR="00BF7679">
        <w:t>riables seem</w:t>
      </w:r>
      <w:r>
        <w:t xml:space="preserve"> to</w:t>
      </w:r>
      <w:r w:rsidR="008E2A31">
        <w:t xml:space="preserve"> matter for</w:t>
      </w:r>
      <w:r>
        <w:t xml:space="preserve"> the quality of democracy around the world. Nevertheless, in at least two areas, social protest is having profound effects </w:t>
      </w:r>
      <w:r w:rsidR="00BC4DBC">
        <w:t>o</w:t>
      </w:r>
      <w:r>
        <w:t xml:space="preserve">n the quality of democracy: respect for </w:t>
      </w:r>
      <w:r w:rsidR="00CC5CA9">
        <w:t>human</w:t>
      </w:r>
      <w:r>
        <w:t xml:space="preserve"> rights and executive constraints. </w:t>
      </w:r>
      <w:r w:rsidR="00E41CEF">
        <w:t>Strikes</w:t>
      </w:r>
      <w:r w:rsidR="00093412">
        <w:t xml:space="preserve"> are prompting countries to increase respect for </w:t>
      </w:r>
      <w:r w:rsidR="00CC5CA9">
        <w:t>workers’</w:t>
      </w:r>
      <w:r w:rsidR="00093412">
        <w:t xml:space="preserve"> rights and </w:t>
      </w:r>
      <w:r w:rsidR="00E41CEF">
        <w:t xml:space="preserve">peaceful protests forcing </w:t>
      </w:r>
      <w:r w:rsidR="00093412">
        <w:t xml:space="preserve">executives to behave less heavy-handedly, particularly in </w:t>
      </w:r>
      <w:r w:rsidR="00AC033D">
        <w:t xml:space="preserve">democracies with more cohesive </w:t>
      </w:r>
      <w:r w:rsidR="008E2A31">
        <w:t>governments</w:t>
      </w:r>
      <w:r w:rsidR="00093412">
        <w:t xml:space="preserve">. </w:t>
      </w:r>
      <w:r w:rsidR="00981D51">
        <w:t xml:space="preserve">General strikes also seem to be spurring countries to uphold the rights of women in the political arena, particularly in countries with independent judiciaries. </w:t>
      </w:r>
      <w:r w:rsidR="009801F6">
        <w:t>Not surprisingly,</w:t>
      </w:r>
      <w:r w:rsidR="00093412">
        <w:t xml:space="preserve"> riots can sometimes diminish the quality of de</w:t>
      </w:r>
      <w:r w:rsidR="006B6BBB">
        <w:t xml:space="preserve">mocratic governance by </w:t>
      </w:r>
      <w:r w:rsidR="00093412">
        <w:t>prompt</w:t>
      </w:r>
      <w:r w:rsidR="006B6BBB">
        <w:t>ing</w:t>
      </w:r>
      <w:r w:rsidR="00093412">
        <w:t xml:space="preserve"> executives to behave more heavy-handedly. The upside is that </w:t>
      </w:r>
      <w:r w:rsidR="00AC033D">
        <w:t>partisan non-alignment</w:t>
      </w:r>
      <w:r w:rsidR="00093412">
        <w:t xml:space="preserve"> can </w:t>
      </w:r>
      <w:r w:rsidR="009801F6">
        <w:t>significantly</w:t>
      </w:r>
      <w:r w:rsidR="00093412">
        <w:t xml:space="preserve"> </w:t>
      </w:r>
      <w:r w:rsidR="00AC033D">
        <w:t>constrain executives in the presence of</w:t>
      </w:r>
      <w:r w:rsidR="001D1DA2">
        <w:t xml:space="preserve"> riots</w:t>
      </w:r>
      <w:r w:rsidR="00093412">
        <w:t>.</w:t>
      </w:r>
    </w:p>
    <w:p w:rsidR="003674D8" w:rsidRDefault="00093412" w:rsidP="00747B9D">
      <w:pPr>
        <w:tabs>
          <w:tab w:val="left" w:pos="975"/>
        </w:tabs>
        <w:spacing w:line="480" w:lineRule="auto"/>
      </w:pPr>
      <w:r>
        <w:tab/>
        <w:t xml:space="preserve">With respect to the political opportunity variables that can be expected to condition the effect of social protest on </w:t>
      </w:r>
      <w:proofErr w:type="gramStart"/>
      <w:r>
        <w:t>democracy,</w:t>
      </w:r>
      <w:proofErr w:type="gramEnd"/>
      <w:r>
        <w:t xml:space="preserve"> the results augur well for th</w:t>
      </w:r>
      <w:r w:rsidR="001D1DA2">
        <w:t>e future of democratic governance</w:t>
      </w:r>
      <w:r>
        <w:t xml:space="preserve">. </w:t>
      </w:r>
      <w:r w:rsidR="0004327C">
        <w:t>Our findings reveal in this regard that</w:t>
      </w:r>
      <w:r>
        <w:t xml:space="preserve"> countries become more democratic, that is, they guarantee and protect </w:t>
      </w:r>
      <w:r w:rsidR="0004327C">
        <w:t>workers’</w:t>
      </w:r>
      <w:r w:rsidR="00CC5CA9">
        <w:t xml:space="preserve"> </w:t>
      </w:r>
      <w:r>
        <w:t xml:space="preserve">rights </w:t>
      </w:r>
      <w:r w:rsidR="001D1DA2">
        <w:t>more</w:t>
      </w:r>
      <w:r w:rsidR="00CC5CA9">
        <w:t xml:space="preserve">, the </w:t>
      </w:r>
      <w:r w:rsidR="0004327C">
        <w:t>less cohesive</w:t>
      </w:r>
      <w:r w:rsidR="001D1DA2">
        <w:t xml:space="preserve"> their </w:t>
      </w:r>
      <w:r w:rsidR="0004327C">
        <w:t>governments</w:t>
      </w:r>
      <w:r>
        <w:t xml:space="preserve">. Somewhat </w:t>
      </w:r>
      <w:r w:rsidR="00CC5CA9">
        <w:t>expectedly</w:t>
      </w:r>
      <w:r>
        <w:t xml:space="preserve">, </w:t>
      </w:r>
      <w:r w:rsidR="008E2A31">
        <w:t>the effects of demonstrations and riots on executive constraints seem to depend on the cohesiveness of the government</w:t>
      </w:r>
      <w:r w:rsidR="00BF7679">
        <w:t xml:space="preserve">. </w:t>
      </w:r>
      <w:r w:rsidR="008E2A31">
        <w:t xml:space="preserve">It would not be realistic to expect the cohesion or fractiousness of </w:t>
      </w:r>
      <w:r w:rsidR="00742DA8">
        <w:t>political institutions</w:t>
      </w:r>
      <w:r w:rsidR="008E2A31">
        <w:t xml:space="preserve"> and the availability of potential allies </w:t>
      </w:r>
      <w:r w:rsidR="00CC5CA9">
        <w:t xml:space="preserve">for social movements </w:t>
      </w:r>
      <w:r w:rsidR="008E2A31">
        <w:t xml:space="preserve">to have a uniform effect on executive constraints. </w:t>
      </w:r>
      <w:r w:rsidR="00BF7679">
        <w:t xml:space="preserve">Nevertheless, the results presented </w:t>
      </w:r>
      <w:r w:rsidR="001D1DA2">
        <w:t xml:space="preserve">in this </w:t>
      </w:r>
      <w:r w:rsidR="003674D8">
        <w:t>article</w:t>
      </w:r>
      <w:r w:rsidR="001D1DA2">
        <w:t xml:space="preserve"> demonstrate that social protest i</w:t>
      </w:r>
      <w:r w:rsidR="009801F6">
        <w:t>s</w:t>
      </w:r>
      <w:r w:rsidR="001D1DA2">
        <w:t xml:space="preserve"> helping </w:t>
      </w:r>
      <w:r w:rsidR="0004327C">
        <w:t>countries deepen their democracies</w:t>
      </w:r>
      <w:r w:rsidR="009801F6">
        <w:t>. They also call</w:t>
      </w:r>
      <w:r w:rsidR="00BF7679">
        <w:t xml:space="preserve"> for more attention to the precise mechanisms linking social protest to more respect for human rights and more constrained executives. </w:t>
      </w:r>
    </w:p>
    <w:p w:rsidR="003674D8" w:rsidRPr="00B70901" w:rsidRDefault="003674D8" w:rsidP="003674D8">
      <w:pPr>
        <w:jc w:val="center"/>
        <w:rPr>
          <w:color w:val="000000"/>
          <w:sz w:val="27"/>
          <w:szCs w:val="27"/>
        </w:rPr>
      </w:pPr>
      <w:r>
        <w:br w:type="page"/>
      </w:r>
      <w:r w:rsidRPr="00051D3D">
        <w:rPr>
          <w:color w:val="000000"/>
        </w:rPr>
        <w:lastRenderedPageBreak/>
        <w:t>References</w:t>
      </w:r>
    </w:p>
    <w:p w:rsidR="00654654" w:rsidRPr="00654654" w:rsidRDefault="00AF00F6" w:rsidP="003674D8">
      <w:pPr>
        <w:pStyle w:val="NormalWeb"/>
        <w:ind w:left="450" w:hanging="450"/>
        <w:rPr>
          <w:color w:val="000000"/>
        </w:rPr>
      </w:pPr>
      <w:proofErr w:type="spellStart"/>
      <w:proofErr w:type="gramStart"/>
      <w:r w:rsidRPr="00AF00F6">
        <w:rPr>
          <w:color w:val="000000"/>
        </w:rPr>
        <w:t>Acock</w:t>
      </w:r>
      <w:proofErr w:type="spellEnd"/>
      <w:r w:rsidRPr="00AF00F6">
        <w:rPr>
          <w:color w:val="000000"/>
        </w:rPr>
        <w:t>, Alan C. 2013.</w:t>
      </w:r>
      <w:proofErr w:type="gramEnd"/>
      <w:r w:rsidRPr="00AF00F6">
        <w:rPr>
          <w:rStyle w:val="apple-converted-space"/>
          <w:color w:val="000000"/>
        </w:rPr>
        <w:t> </w:t>
      </w:r>
      <w:proofErr w:type="gramStart"/>
      <w:r w:rsidRPr="00AF00F6">
        <w:rPr>
          <w:i/>
          <w:iCs/>
          <w:color w:val="000000"/>
        </w:rPr>
        <w:t xml:space="preserve">Discovering structural equation modeling using </w:t>
      </w:r>
      <w:proofErr w:type="spellStart"/>
      <w:r w:rsidR="00654654" w:rsidRPr="00654654">
        <w:rPr>
          <w:i/>
          <w:iCs/>
          <w:color w:val="000000"/>
        </w:rPr>
        <w:t>Stata</w:t>
      </w:r>
      <w:proofErr w:type="spellEnd"/>
      <w:r w:rsidRPr="00AF00F6">
        <w:rPr>
          <w:color w:val="000000"/>
        </w:rPr>
        <w:t>.</w:t>
      </w:r>
      <w:proofErr w:type="gramEnd"/>
      <w:r w:rsidRPr="00AF00F6">
        <w:rPr>
          <w:color w:val="000000"/>
        </w:rPr>
        <w:t xml:space="preserve"> College Station: TX: </w:t>
      </w:r>
      <w:proofErr w:type="spellStart"/>
      <w:r w:rsidRPr="00AF00F6">
        <w:rPr>
          <w:color w:val="000000"/>
        </w:rPr>
        <w:t>Stata</w:t>
      </w:r>
      <w:proofErr w:type="spellEnd"/>
      <w:r w:rsidRPr="00AF00F6">
        <w:rPr>
          <w:color w:val="000000"/>
        </w:rPr>
        <w:t xml:space="preserve"> Press.</w:t>
      </w:r>
      <w:r w:rsidR="00654654" w:rsidRPr="00654654">
        <w:rPr>
          <w:color w:val="000000"/>
        </w:rPr>
        <w:t xml:space="preserve"> </w:t>
      </w:r>
    </w:p>
    <w:p w:rsidR="003674D8" w:rsidRPr="00051D3D" w:rsidRDefault="003674D8" w:rsidP="003674D8">
      <w:pPr>
        <w:pStyle w:val="NormalWeb"/>
        <w:ind w:left="450" w:hanging="450"/>
        <w:rPr>
          <w:color w:val="000000"/>
        </w:rPr>
      </w:pPr>
      <w:proofErr w:type="spellStart"/>
      <w:proofErr w:type="gramStart"/>
      <w:r w:rsidRPr="00051D3D">
        <w:rPr>
          <w:color w:val="000000"/>
        </w:rPr>
        <w:t>Alemán</w:t>
      </w:r>
      <w:proofErr w:type="spellEnd"/>
      <w:r w:rsidRPr="00051D3D">
        <w:rPr>
          <w:color w:val="000000"/>
        </w:rPr>
        <w:t>,</w:t>
      </w:r>
      <w:r>
        <w:rPr>
          <w:color w:val="000000"/>
        </w:rPr>
        <w:t xml:space="preserve"> </w:t>
      </w:r>
      <w:r w:rsidRPr="00051D3D">
        <w:rPr>
          <w:color w:val="000000"/>
        </w:rPr>
        <w:t>José, and David D. Yang.</w:t>
      </w:r>
      <w:proofErr w:type="gramEnd"/>
      <w:r w:rsidRPr="00051D3D">
        <w:rPr>
          <w:color w:val="000000"/>
        </w:rPr>
        <w:t xml:space="preserve"> 2011. "A Duration Analysis of Democratic Transitions and Authoritarian Backslides."</w:t>
      </w:r>
      <w:r w:rsidRPr="00051D3D">
        <w:rPr>
          <w:rStyle w:val="apple-converted-space"/>
          <w:rFonts w:eastAsia="Batang"/>
          <w:color w:val="000000"/>
        </w:rPr>
        <w:t> </w:t>
      </w:r>
      <w:r w:rsidRPr="00051D3D">
        <w:rPr>
          <w:i/>
          <w:iCs/>
          <w:color w:val="000000"/>
        </w:rPr>
        <w:t>Comparative Political Studies</w:t>
      </w:r>
      <w:r w:rsidRPr="00051D3D">
        <w:rPr>
          <w:rStyle w:val="apple-converted-space"/>
          <w:rFonts w:eastAsia="Batang"/>
          <w:color w:val="000000"/>
        </w:rPr>
        <w:t> </w:t>
      </w:r>
      <w:r w:rsidRPr="00051D3D">
        <w:rPr>
          <w:color w:val="000000"/>
        </w:rPr>
        <w:t>44 (9):1123-51.</w:t>
      </w:r>
    </w:p>
    <w:p w:rsidR="003674D8" w:rsidRPr="00051D3D" w:rsidRDefault="003674D8" w:rsidP="003674D8">
      <w:pPr>
        <w:pStyle w:val="NormalWeb"/>
        <w:ind w:left="450" w:hanging="450"/>
        <w:rPr>
          <w:color w:val="000000"/>
        </w:rPr>
      </w:pPr>
      <w:proofErr w:type="spellStart"/>
      <w:proofErr w:type="gramStart"/>
      <w:r w:rsidRPr="00051D3D">
        <w:rPr>
          <w:color w:val="000000"/>
        </w:rPr>
        <w:t>Alesina</w:t>
      </w:r>
      <w:proofErr w:type="spellEnd"/>
      <w:r w:rsidRPr="00051D3D">
        <w:rPr>
          <w:color w:val="000000"/>
        </w:rPr>
        <w:t>,</w:t>
      </w:r>
      <w:r>
        <w:rPr>
          <w:color w:val="000000"/>
        </w:rPr>
        <w:t xml:space="preserve"> </w:t>
      </w:r>
      <w:r w:rsidRPr="00051D3D">
        <w:rPr>
          <w:color w:val="000000"/>
        </w:rPr>
        <w:t xml:space="preserve">Alberto, Arnaud </w:t>
      </w:r>
      <w:proofErr w:type="spellStart"/>
      <w:r w:rsidRPr="00051D3D">
        <w:rPr>
          <w:color w:val="000000"/>
        </w:rPr>
        <w:t>Devleeschauwer</w:t>
      </w:r>
      <w:proofErr w:type="spellEnd"/>
      <w:r w:rsidRPr="00051D3D">
        <w:rPr>
          <w:color w:val="000000"/>
        </w:rPr>
        <w:t xml:space="preserve">, William Easterly, Sergio </w:t>
      </w:r>
      <w:proofErr w:type="spellStart"/>
      <w:r w:rsidRPr="00051D3D">
        <w:rPr>
          <w:color w:val="000000"/>
        </w:rPr>
        <w:t>Kurlat</w:t>
      </w:r>
      <w:proofErr w:type="spellEnd"/>
      <w:r w:rsidRPr="00051D3D">
        <w:rPr>
          <w:color w:val="000000"/>
        </w:rPr>
        <w:t xml:space="preserve">, and </w:t>
      </w:r>
      <w:proofErr w:type="spellStart"/>
      <w:r w:rsidRPr="00051D3D">
        <w:rPr>
          <w:color w:val="000000"/>
        </w:rPr>
        <w:t>Romain</w:t>
      </w:r>
      <w:proofErr w:type="spellEnd"/>
      <w:r w:rsidRPr="00051D3D">
        <w:rPr>
          <w:color w:val="000000"/>
        </w:rPr>
        <w:t xml:space="preserve"> </w:t>
      </w:r>
      <w:proofErr w:type="spellStart"/>
      <w:r w:rsidRPr="00051D3D">
        <w:rPr>
          <w:color w:val="000000"/>
        </w:rPr>
        <w:t>Wacziarg</w:t>
      </w:r>
      <w:proofErr w:type="spellEnd"/>
      <w:r w:rsidRPr="00051D3D">
        <w:rPr>
          <w:color w:val="000000"/>
        </w:rPr>
        <w:t>.</w:t>
      </w:r>
      <w:proofErr w:type="gramEnd"/>
      <w:r w:rsidRPr="00051D3D">
        <w:rPr>
          <w:color w:val="000000"/>
        </w:rPr>
        <w:t xml:space="preserve"> 2003. "Fractionalization."</w:t>
      </w:r>
      <w:r w:rsidRPr="00051D3D">
        <w:rPr>
          <w:rStyle w:val="apple-converted-space"/>
          <w:rFonts w:eastAsia="Batang"/>
          <w:color w:val="000000"/>
        </w:rPr>
        <w:t> </w:t>
      </w:r>
      <w:r w:rsidRPr="00051D3D">
        <w:rPr>
          <w:i/>
          <w:iCs/>
          <w:color w:val="000000"/>
        </w:rPr>
        <w:t>Journal of Economic Growth</w:t>
      </w:r>
      <w:r w:rsidRPr="00051D3D">
        <w:rPr>
          <w:rStyle w:val="apple-converted-space"/>
          <w:rFonts w:eastAsia="Batang"/>
          <w:color w:val="000000"/>
        </w:rPr>
        <w:t> </w:t>
      </w:r>
      <w:r w:rsidRPr="00051D3D">
        <w:rPr>
          <w:color w:val="000000"/>
        </w:rPr>
        <w:t>8 (2):155-94.</w:t>
      </w:r>
    </w:p>
    <w:p w:rsidR="003674D8" w:rsidRPr="00051D3D" w:rsidRDefault="003674D8" w:rsidP="003674D8">
      <w:pPr>
        <w:pStyle w:val="NormalWeb"/>
        <w:ind w:left="450" w:hanging="450"/>
        <w:rPr>
          <w:color w:val="000000"/>
        </w:rPr>
      </w:pPr>
      <w:proofErr w:type="gramStart"/>
      <w:r w:rsidRPr="00051D3D">
        <w:rPr>
          <w:color w:val="000000"/>
        </w:rPr>
        <w:t>Banks, Arthur S., and Kenneth A. Wilson.</w:t>
      </w:r>
      <w:proofErr w:type="gramEnd"/>
      <w:r w:rsidRPr="00051D3D">
        <w:rPr>
          <w:color w:val="000000"/>
        </w:rPr>
        <w:t xml:space="preserve"> 2007.</w:t>
      </w:r>
      <w:r w:rsidRPr="00051D3D">
        <w:rPr>
          <w:rStyle w:val="apple-converted-space"/>
          <w:rFonts w:eastAsia="Batang"/>
          <w:color w:val="000000"/>
        </w:rPr>
        <w:t> </w:t>
      </w:r>
      <w:r w:rsidRPr="00051D3D">
        <w:rPr>
          <w:i/>
          <w:iCs/>
          <w:color w:val="000000"/>
        </w:rPr>
        <w:t>Cross-National Time Series Data Archive.</w:t>
      </w:r>
      <w:r w:rsidRPr="00051D3D">
        <w:rPr>
          <w:rStyle w:val="apple-converted-space"/>
          <w:rFonts w:eastAsia="Batang"/>
          <w:color w:val="000000"/>
        </w:rPr>
        <w:t> </w:t>
      </w:r>
      <w:r w:rsidRPr="00051D3D">
        <w:rPr>
          <w:color w:val="000000"/>
        </w:rPr>
        <w:t>Jerusalem, Israel: Databanks International.</w:t>
      </w:r>
      <w:r w:rsidRPr="00051D3D">
        <w:rPr>
          <w:rStyle w:val="apple-converted-space"/>
          <w:rFonts w:eastAsia="Batang"/>
          <w:color w:val="000000"/>
        </w:rPr>
        <w:t> </w:t>
      </w:r>
      <w:proofErr w:type="gramStart"/>
      <w:r>
        <w:rPr>
          <w:rStyle w:val="apple-converted-space"/>
          <w:rFonts w:eastAsia="Batang"/>
          <w:color w:val="000000"/>
        </w:rPr>
        <w:t xml:space="preserve">Retrieved from </w:t>
      </w:r>
      <w:hyperlink r:id="rId8" w:tgtFrame="_blank" w:history="1">
        <w:r w:rsidRPr="00051D3D">
          <w:rPr>
            <w:rStyle w:val="Hyperlink"/>
          </w:rPr>
          <w:t>http://www.databanksinternational.com</w:t>
        </w:r>
      </w:hyperlink>
      <w:r w:rsidRPr="00051D3D">
        <w:rPr>
          <w:color w:val="000000"/>
        </w:rPr>
        <w:t>.</w:t>
      </w:r>
      <w:proofErr w:type="gramEnd"/>
    </w:p>
    <w:p w:rsidR="003674D8" w:rsidRPr="00051D3D" w:rsidRDefault="003674D8" w:rsidP="003674D8">
      <w:pPr>
        <w:pStyle w:val="NormalWeb"/>
        <w:ind w:left="450" w:hanging="450"/>
        <w:rPr>
          <w:color w:val="000000"/>
        </w:rPr>
      </w:pPr>
      <w:r w:rsidRPr="00051D3D">
        <w:rPr>
          <w:color w:val="000000"/>
        </w:rPr>
        <w:t>Carothers, Thomas. 2006.</w:t>
      </w:r>
      <w:r w:rsidRPr="00051D3D">
        <w:rPr>
          <w:rStyle w:val="apple-converted-space"/>
          <w:rFonts w:eastAsia="Batang"/>
          <w:color w:val="000000"/>
        </w:rPr>
        <w:t> </w:t>
      </w:r>
      <w:r>
        <w:rPr>
          <w:i/>
          <w:iCs/>
          <w:color w:val="000000"/>
        </w:rPr>
        <w:t>Promoting the Rule of Law Abroad: In Search of K</w:t>
      </w:r>
      <w:r w:rsidRPr="00051D3D">
        <w:rPr>
          <w:i/>
          <w:iCs/>
          <w:color w:val="000000"/>
        </w:rPr>
        <w:t>nowledge</w:t>
      </w:r>
      <w:r w:rsidRPr="00051D3D">
        <w:rPr>
          <w:color w:val="000000"/>
        </w:rPr>
        <w:t>. Washington, D.C.: Carnegie Endowment for International Peace.</w:t>
      </w:r>
    </w:p>
    <w:p w:rsidR="003674D8" w:rsidRPr="00A7404E" w:rsidRDefault="003674D8" w:rsidP="003674D8">
      <w:pPr>
        <w:pStyle w:val="NormalWeb"/>
        <w:ind w:left="450" w:hanging="450"/>
        <w:rPr>
          <w:color w:val="000000"/>
        </w:rPr>
      </w:pPr>
      <w:r w:rsidRPr="00A7404E">
        <w:rPr>
          <w:color w:val="000000"/>
        </w:rPr>
        <w:t>Casper, Gerhard. 20</w:t>
      </w:r>
      <w:r>
        <w:rPr>
          <w:color w:val="000000"/>
        </w:rPr>
        <w:t>07</w:t>
      </w:r>
      <w:r w:rsidRPr="00A7404E">
        <w:rPr>
          <w:color w:val="000000"/>
        </w:rPr>
        <w:t>. "</w:t>
      </w:r>
      <w:proofErr w:type="spellStart"/>
      <w:r w:rsidRPr="00A7404E">
        <w:rPr>
          <w:color w:val="000000"/>
        </w:rPr>
        <w:t>Caesarism</w:t>
      </w:r>
      <w:proofErr w:type="spellEnd"/>
      <w:r w:rsidRPr="00A7404E">
        <w:rPr>
          <w:color w:val="000000"/>
        </w:rPr>
        <w:t xml:space="preserve"> in Democratic Politics: Reflections on Max Weber”. </w:t>
      </w:r>
      <w:r w:rsidRPr="00A7404E">
        <w:rPr>
          <w:rStyle w:val="apple-converted-space"/>
          <w:color w:val="000000"/>
        </w:rPr>
        <w:t> </w:t>
      </w:r>
      <w:proofErr w:type="gramStart"/>
      <w:r>
        <w:rPr>
          <w:rFonts w:eastAsia="Batang"/>
        </w:rPr>
        <w:t>Social Science</w:t>
      </w:r>
      <w:r w:rsidRPr="00A7404E">
        <w:rPr>
          <w:rStyle w:val="apple-converted-space"/>
          <w:color w:val="000000"/>
        </w:rPr>
        <w:t> </w:t>
      </w:r>
      <w:r w:rsidRPr="00A7404E">
        <w:rPr>
          <w:color w:val="000000"/>
        </w:rPr>
        <w:t>Research Network</w:t>
      </w:r>
      <w:r>
        <w:rPr>
          <w:color w:val="000000"/>
        </w:rPr>
        <w:t>.</w:t>
      </w:r>
      <w:proofErr w:type="gramEnd"/>
      <w:r>
        <w:rPr>
          <w:color w:val="000000"/>
        </w:rPr>
        <w:t xml:space="preserve"> </w:t>
      </w:r>
      <w:proofErr w:type="gramStart"/>
      <w:r>
        <w:rPr>
          <w:color w:val="000000"/>
        </w:rPr>
        <w:t xml:space="preserve">Retrieved from </w:t>
      </w:r>
      <w:hyperlink r:id="rId9" w:history="1">
        <w:r>
          <w:rPr>
            <w:rStyle w:val="Hyperlink"/>
          </w:rPr>
          <w:t>http://papers.ssrn.com/sol3/papers.cfm?abstract_id=1032647</w:t>
        </w:r>
      </w:hyperlink>
      <w:r>
        <w:rPr>
          <w:color w:val="000000"/>
        </w:rPr>
        <w:t>.</w:t>
      </w:r>
      <w:proofErr w:type="gramEnd"/>
      <w:r>
        <w:rPr>
          <w:color w:val="000000"/>
        </w:rPr>
        <w:t xml:space="preserve"> </w:t>
      </w:r>
      <w:r w:rsidRPr="00A7404E">
        <w:rPr>
          <w:color w:val="000000"/>
        </w:rPr>
        <w:t xml:space="preserve"> </w:t>
      </w:r>
    </w:p>
    <w:p w:rsidR="003674D8" w:rsidRDefault="003674D8" w:rsidP="003674D8">
      <w:pPr>
        <w:pStyle w:val="NormalWeb"/>
        <w:ind w:left="450" w:hanging="450"/>
        <w:rPr>
          <w:color w:val="000000"/>
        </w:rPr>
      </w:pPr>
      <w:proofErr w:type="spellStart"/>
      <w:proofErr w:type="gramStart"/>
      <w:r w:rsidRPr="003674D8">
        <w:rPr>
          <w:color w:val="000000"/>
        </w:rPr>
        <w:t>Cheibub</w:t>
      </w:r>
      <w:proofErr w:type="spellEnd"/>
      <w:r w:rsidRPr="003674D8">
        <w:rPr>
          <w:color w:val="000000"/>
        </w:rPr>
        <w:t xml:space="preserve">, José Antonio, Jennifer Gandhi </w:t>
      </w:r>
      <w:proofErr w:type="spellStart"/>
      <w:r w:rsidRPr="003674D8">
        <w:rPr>
          <w:color w:val="000000"/>
        </w:rPr>
        <w:t>Gandhi</w:t>
      </w:r>
      <w:proofErr w:type="spellEnd"/>
      <w:r w:rsidRPr="003674D8">
        <w:rPr>
          <w:color w:val="000000"/>
        </w:rPr>
        <w:t>, and James Raymond Vreeland.</w:t>
      </w:r>
      <w:proofErr w:type="gramEnd"/>
      <w:r w:rsidRPr="003674D8">
        <w:rPr>
          <w:color w:val="000000"/>
        </w:rPr>
        <w:t xml:space="preserve"> 2010. "Democracy and Dictatorship Revisited." Public Choice 143 (1-2):67-101</w:t>
      </w:r>
      <w:r>
        <w:t>.</w:t>
      </w:r>
    </w:p>
    <w:p w:rsidR="003674D8" w:rsidRPr="00051D3D" w:rsidRDefault="003674D8" w:rsidP="003674D8">
      <w:pPr>
        <w:pStyle w:val="NormalWeb"/>
        <w:ind w:left="450" w:hanging="450"/>
        <w:rPr>
          <w:color w:val="000000"/>
        </w:rPr>
      </w:pPr>
      <w:proofErr w:type="spellStart"/>
      <w:proofErr w:type="gramStart"/>
      <w:r w:rsidRPr="00051D3D">
        <w:rPr>
          <w:color w:val="000000"/>
        </w:rPr>
        <w:t>Cingranelli</w:t>
      </w:r>
      <w:proofErr w:type="spellEnd"/>
      <w:r w:rsidRPr="00051D3D">
        <w:rPr>
          <w:color w:val="000000"/>
        </w:rPr>
        <w:t>, David L., and David L. Richards.</w:t>
      </w:r>
      <w:proofErr w:type="gramEnd"/>
      <w:r w:rsidRPr="00051D3D">
        <w:rPr>
          <w:color w:val="000000"/>
        </w:rPr>
        <w:t xml:space="preserve"> 201</w:t>
      </w:r>
      <w:r w:rsidR="003620BF">
        <w:rPr>
          <w:color w:val="000000"/>
        </w:rPr>
        <w:t>4</w:t>
      </w:r>
      <w:r w:rsidRPr="00051D3D">
        <w:rPr>
          <w:color w:val="000000"/>
        </w:rPr>
        <w:t xml:space="preserve">. "Short Variable Descriptions for Indicators in the </w:t>
      </w:r>
      <w:proofErr w:type="spellStart"/>
      <w:r w:rsidRPr="00051D3D">
        <w:rPr>
          <w:color w:val="000000"/>
        </w:rPr>
        <w:t>Cingranelli</w:t>
      </w:r>
      <w:proofErr w:type="spellEnd"/>
      <w:r w:rsidRPr="00051D3D">
        <w:rPr>
          <w:color w:val="000000"/>
        </w:rPr>
        <w:t>-Richards (CIRI) Human Rights Data Dataset."</w:t>
      </w:r>
      <w:r>
        <w:rPr>
          <w:color w:val="000000"/>
        </w:rPr>
        <w:t xml:space="preserve"> </w:t>
      </w:r>
      <w:proofErr w:type="gramStart"/>
      <w:r>
        <w:rPr>
          <w:color w:val="000000"/>
        </w:rPr>
        <w:t xml:space="preserve">Retrieved from </w:t>
      </w:r>
      <w:r w:rsidR="003620BF" w:rsidRPr="003620BF">
        <w:t>https://drive.google.com/file/d/0BxDpF6GQ-6fbY25CYVRIOTJ2MHM/edit</w:t>
      </w:r>
      <w:r w:rsidRPr="00051D3D">
        <w:rPr>
          <w:color w:val="000000"/>
        </w:rPr>
        <w:t>.</w:t>
      </w:r>
      <w:proofErr w:type="gramEnd"/>
    </w:p>
    <w:p w:rsidR="003674D8" w:rsidRPr="00051D3D" w:rsidRDefault="003674D8" w:rsidP="003674D8">
      <w:pPr>
        <w:pStyle w:val="NormalWeb"/>
        <w:ind w:left="450" w:hanging="450"/>
        <w:rPr>
          <w:color w:val="000000"/>
        </w:rPr>
      </w:pPr>
      <w:proofErr w:type="gramStart"/>
      <w:r w:rsidRPr="00051D3D">
        <w:rPr>
          <w:color w:val="000000"/>
        </w:rPr>
        <w:t>Collier,</w:t>
      </w:r>
      <w:r>
        <w:rPr>
          <w:color w:val="000000"/>
        </w:rPr>
        <w:t xml:space="preserve"> </w:t>
      </w:r>
      <w:r w:rsidRPr="00051D3D">
        <w:rPr>
          <w:color w:val="000000"/>
        </w:rPr>
        <w:t xml:space="preserve">David, and Steven </w:t>
      </w:r>
      <w:proofErr w:type="spellStart"/>
      <w:r w:rsidRPr="00051D3D">
        <w:rPr>
          <w:color w:val="000000"/>
        </w:rPr>
        <w:t>Levitsky</w:t>
      </w:r>
      <w:proofErr w:type="spellEnd"/>
      <w:r w:rsidRPr="00051D3D">
        <w:rPr>
          <w:color w:val="000000"/>
        </w:rPr>
        <w:t>.</w:t>
      </w:r>
      <w:proofErr w:type="gramEnd"/>
      <w:r w:rsidRPr="00051D3D">
        <w:rPr>
          <w:color w:val="000000"/>
        </w:rPr>
        <w:t xml:space="preserve"> 1997. "Democracy with Adjectives: Conceptual Innovation in Comparative Research."</w:t>
      </w:r>
      <w:r w:rsidRPr="00051D3D">
        <w:rPr>
          <w:rStyle w:val="apple-converted-space"/>
          <w:rFonts w:eastAsia="Batang"/>
          <w:color w:val="000000"/>
        </w:rPr>
        <w:t> </w:t>
      </w:r>
      <w:r w:rsidRPr="00051D3D">
        <w:rPr>
          <w:i/>
          <w:iCs/>
          <w:color w:val="000000"/>
        </w:rPr>
        <w:t>World Politics</w:t>
      </w:r>
      <w:r w:rsidRPr="00051D3D">
        <w:rPr>
          <w:rStyle w:val="apple-converted-space"/>
          <w:rFonts w:eastAsia="Batang"/>
          <w:color w:val="000000"/>
        </w:rPr>
        <w:t> </w:t>
      </w:r>
      <w:r w:rsidRPr="00051D3D">
        <w:rPr>
          <w:color w:val="000000"/>
        </w:rPr>
        <w:t>49 (3):430-51.</w:t>
      </w:r>
    </w:p>
    <w:p w:rsidR="00AB4887" w:rsidRPr="00AB4887" w:rsidRDefault="00AB4887" w:rsidP="003674D8">
      <w:pPr>
        <w:pStyle w:val="NormalWeb"/>
        <w:ind w:left="450" w:hanging="450"/>
        <w:rPr>
          <w:color w:val="000000"/>
        </w:rPr>
      </w:pPr>
      <w:proofErr w:type="gramStart"/>
      <w:r w:rsidRPr="00AB4887">
        <w:rPr>
          <w:color w:val="000000"/>
        </w:rPr>
        <w:t xml:space="preserve">Converse, Nathan, and Ethan B. </w:t>
      </w:r>
      <w:proofErr w:type="spellStart"/>
      <w:r w:rsidRPr="00AB4887">
        <w:rPr>
          <w:color w:val="000000"/>
        </w:rPr>
        <w:t>Kapst</w:t>
      </w:r>
      <w:r>
        <w:rPr>
          <w:color w:val="000000"/>
        </w:rPr>
        <w:t>ein</w:t>
      </w:r>
      <w:proofErr w:type="spellEnd"/>
      <w:r>
        <w:rPr>
          <w:color w:val="000000"/>
        </w:rPr>
        <w:t>.</w:t>
      </w:r>
      <w:proofErr w:type="gramEnd"/>
      <w:r>
        <w:rPr>
          <w:color w:val="000000"/>
        </w:rPr>
        <w:t xml:space="preserve"> 2008. "The Threat to Young</w:t>
      </w:r>
      <w:r w:rsidR="0072161A">
        <w:rPr>
          <w:color w:val="000000"/>
        </w:rPr>
        <w:t xml:space="preserve"> </w:t>
      </w:r>
      <w:r w:rsidR="00AF00F6" w:rsidRPr="00AF00F6">
        <w:rPr>
          <w:color w:val="000000"/>
        </w:rPr>
        <w:t>Democracies."</w:t>
      </w:r>
      <w:r w:rsidR="00AF00F6" w:rsidRPr="00AF00F6">
        <w:rPr>
          <w:rStyle w:val="apple-converted-space"/>
          <w:color w:val="000000"/>
        </w:rPr>
        <w:t> </w:t>
      </w:r>
      <w:r w:rsidR="00AF00F6" w:rsidRPr="00AF00F6">
        <w:rPr>
          <w:i/>
          <w:iCs/>
          <w:color w:val="000000"/>
        </w:rPr>
        <w:t>Survival</w:t>
      </w:r>
      <w:r w:rsidR="00AF00F6" w:rsidRPr="00AF00F6">
        <w:rPr>
          <w:rStyle w:val="apple-converted-space"/>
          <w:color w:val="000000"/>
        </w:rPr>
        <w:t> </w:t>
      </w:r>
      <w:r w:rsidR="00AF00F6" w:rsidRPr="00AF00F6">
        <w:rPr>
          <w:color w:val="000000"/>
        </w:rPr>
        <w:t>50 (2):127-40.</w:t>
      </w:r>
    </w:p>
    <w:p w:rsidR="003674D8" w:rsidRPr="00051D3D" w:rsidRDefault="003674D8" w:rsidP="003674D8">
      <w:pPr>
        <w:pStyle w:val="NormalWeb"/>
        <w:ind w:left="450" w:hanging="450"/>
        <w:rPr>
          <w:color w:val="000000"/>
        </w:rPr>
      </w:pPr>
      <w:proofErr w:type="spellStart"/>
      <w:r w:rsidRPr="00051D3D">
        <w:rPr>
          <w:color w:val="000000"/>
        </w:rPr>
        <w:t>Coppedge</w:t>
      </w:r>
      <w:proofErr w:type="spellEnd"/>
      <w:r w:rsidRPr="00051D3D">
        <w:rPr>
          <w:color w:val="000000"/>
        </w:rPr>
        <w:t>, Michael. 2012.</w:t>
      </w:r>
      <w:r w:rsidRPr="00051D3D">
        <w:rPr>
          <w:rStyle w:val="apple-converted-space"/>
          <w:rFonts w:eastAsia="Batang"/>
          <w:color w:val="000000"/>
        </w:rPr>
        <w:t> </w:t>
      </w:r>
      <w:r>
        <w:rPr>
          <w:bCs/>
          <w:i/>
          <w:iCs/>
          <w:color w:val="000000"/>
        </w:rPr>
        <w:t>Democratization and Research Methods: The Methodology of Comparative P</w:t>
      </w:r>
      <w:r w:rsidRPr="00205994">
        <w:rPr>
          <w:bCs/>
          <w:i/>
          <w:iCs/>
          <w:color w:val="000000"/>
        </w:rPr>
        <w:t>olitics</w:t>
      </w:r>
      <w:r w:rsidRPr="00051D3D">
        <w:rPr>
          <w:color w:val="000000"/>
        </w:rPr>
        <w:t>. New York: Cambridge University Press.</w:t>
      </w:r>
    </w:p>
    <w:p w:rsidR="003674D8" w:rsidRPr="00051D3D" w:rsidRDefault="003674D8" w:rsidP="003674D8">
      <w:pPr>
        <w:pStyle w:val="NormalWeb"/>
        <w:ind w:left="450" w:hanging="450"/>
        <w:rPr>
          <w:color w:val="000000"/>
        </w:rPr>
      </w:pPr>
      <w:proofErr w:type="spellStart"/>
      <w:proofErr w:type="gramStart"/>
      <w:r w:rsidRPr="00051D3D">
        <w:rPr>
          <w:color w:val="000000"/>
        </w:rPr>
        <w:t>Coppedge</w:t>
      </w:r>
      <w:proofErr w:type="spellEnd"/>
      <w:r w:rsidRPr="00051D3D">
        <w:rPr>
          <w:color w:val="000000"/>
        </w:rPr>
        <w:t>,</w:t>
      </w:r>
      <w:r>
        <w:rPr>
          <w:color w:val="000000"/>
        </w:rPr>
        <w:t xml:space="preserve"> </w:t>
      </w:r>
      <w:r w:rsidRPr="00051D3D">
        <w:rPr>
          <w:color w:val="000000"/>
        </w:rPr>
        <w:t>Michael, Angel Alvarez, and Claudia Maldonado.</w:t>
      </w:r>
      <w:proofErr w:type="gramEnd"/>
      <w:r w:rsidRPr="00051D3D">
        <w:rPr>
          <w:color w:val="000000"/>
        </w:rPr>
        <w:t xml:space="preserve"> 2008. "Two Persistent Dimensions of Democracy: Contestation and Inclusiveness."</w:t>
      </w:r>
      <w:r w:rsidRPr="00051D3D">
        <w:rPr>
          <w:rStyle w:val="apple-converted-space"/>
          <w:rFonts w:eastAsia="Batang"/>
          <w:color w:val="000000"/>
        </w:rPr>
        <w:t> </w:t>
      </w:r>
      <w:r w:rsidRPr="00051D3D">
        <w:rPr>
          <w:i/>
          <w:iCs/>
          <w:color w:val="000000"/>
        </w:rPr>
        <w:t>Journal of Politics</w:t>
      </w:r>
      <w:r w:rsidRPr="00051D3D">
        <w:rPr>
          <w:rStyle w:val="apple-converted-space"/>
          <w:rFonts w:eastAsia="Batang"/>
          <w:color w:val="000000"/>
        </w:rPr>
        <w:t> </w:t>
      </w:r>
      <w:r w:rsidRPr="00051D3D">
        <w:rPr>
          <w:color w:val="000000"/>
        </w:rPr>
        <w:t>70 (3):632-47.</w:t>
      </w:r>
    </w:p>
    <w:p w:rsidR="003674D8" w:rsidRPr="00051D3D" w:rsidRDefault="003674D8" w:rsidP="003674D8">
      <w:pPr>
        <w:pStyle w:val="NormalWeb"/>
        <w:ind w:left="450" w:hanging="450"/>
        <w:rPr>
          <w:color w:val="000000"/>
        </w:rPr>
      </w:pPr>
      <w:proofErr w:type="gramStart"/>
      <w:r w:rsidRPr="00051D3D">
        <w:rPr>
          <w:color w:val="000000"/>
        </w:rPr>
        <w:t>Dahl, Robert Alan.</w:t>
      </w:r>
      <w:proofErr w:type="gramEnd"/>
      <w:r w:rsidRPr="00051D3D">
        <w:rPr>
          <w:color w:val="000000"/>
        </w:rPr>
        <w:t xml:space="preserve"> 1971.</w:t>
      </w:r>
      <w:r w:rsidRPr="00051D3D">
        <w:rPr>
          <w:rStyle w:val="apple-converted-space"/>
          <w:rFonts w:eastAsia="Batang"/>
          <w:color w:val="000000"/>
        </w:rPr>
        <w:t> </w:t>
      </w:r>
      <w:proofErr w:type="spellStart"/>
      <w:r>
        <w:rPr>
          <w:i/>
          <w:iCs/>
          <w:color w:val="000000"/>
        </w:rPr>
        <w:t>Polyarchy</w:t>
      </w:r>
      <w:proofErr w:type="spellEnd"/>
      <w:r>
        <w:rPr>
          <w:i/>
          <w:iCs/>
          <w:color w:val="000000"/>
        </w:rPr>
        <w:t>: Participation and O</w:t>
      </w:r>
      <w:r w:rsidRPr="00051D3D">
        <w:rPr>
          <w:i/>
          <w:iCs/>
          <w:color w:val="000000"/>
        </w:rPr>
        <w:t>pposition</w:t>
      </w:r>
      <w:r w:rsidRPr="00051D3D">
        <w:rPr>
          <w:color w:val="000000"/>
        </w:rPr>
        <w:t>. New Haven, CT: Yale University Press.</w:t>
      </w:r>
    </w:p>
    <w:p w:rsidR="003674D8" w:rsidRPr="00051D3D" w:rsidRDefault="003674D8" w:rsidP="003674D8">
      <w:pPr>
        <w:pStyle w:val="NormalWeb"/>
        <w:ind w:left="450" w:hanging="450"/>
        <w:rPr>
          <w:color w:val="000000"/>
        </w:rPr>
      </w:pPr>
      <w:proofErr w:type="gramStart"/>
      <w:r w:rsidRPr="00051D3D">
        <w:rPr>
          <w:color w:val="000000"/>
        </w:rPr>
        <w:t>Dalton,</w:t>
      </w:r>
      <w:r>
        <w:rPr>
          <w:color w:val="000000"/>
        </w:rPr>
        <w:t xml:space="preserve"> </w:t>
      </w:r>
      <w:r w:rsidRPr="00051D3D">
        <w:rPr>
          <w:color w:val="000000"/>
        </w:rPr>
        <w:t xml:space="preserve">Russell, </w:t>
      </w:r>
      <w:proofErr w:type="spellStart"/>
      <w:r w:rsidRPr="00051D3D">
        <w:rPr>
          <w:color w:val="000000"/>
        </w:rPr>
        <w:t>Alix</w:t>
      </w:r>
      <w:proofErr w:type="spellEnd"/>
      <w:r w:rsidRPr="00051D3D">
        <w:rPr>
          <w:color w:val="000000"/>
        </w:rPr>
        <w:t xml:space="preserve"> van Sickle, and Steven Weldon.</w:t>
      </w:r>
      <w:proofErr w:type="gramEnd"/>
      <w:r w:rsidRPr="00051D3D">
        <w:rPr>
          <w:color w:val="000000"/>
        </w:rPr>
        <w:t xml:space="preserve"> 2010. "The Individual–Institutional Nexus of Protest </w:t>
      </w:r>
      <w:proofErr w:type="spellStart"/>
      <w:r w:rsidRPr="00051D3D">
        <w:rPr>
          <w:color w:val="000000"/>
        </w:rPr>
        <w:t>Behaviour</w:t>
      </w:r>
      <w:proofErr w:type="spellEnd"/>
      <w:r w:rsidRPr="00051D3D">
        <w:rPr>
          <w:color w:val="000000"/>
        </w:rPr>
        <w:t>."</w:t>
      </w:r>
      <w:r w:rsidRPr="00051D3D">
        <w:rPr>
          <w:rStyle w:val="apple-converted-space"/>
          <w:rFonts w:eastAsia="Batang"/>
          <w:color w:val="000000"/>
        </w:rPr>
        <w:t> </w:t>
      </w:r>
      <w:r w:rsidRPr="00051D3D">
        <w:rPr>
          <w:i/>
          <w:iCs/>
          <w:color w:val="000000"/>
        </w:rPr>
        <w:t>British Journal of Political Science</w:t>
      </w:r>
      <w:r w:rsidRPr="00051D3D">
        <w:rPr>
          <w:rStyle w:val="apple-converted-space"/>
          <w:rFonts w:eastAsia="Batang"/>
          <w:color w:val="000000"/>
        </w:rPr>
        <w:t> </w:t>
      </w:r>
      <w:r w:rsidRPr="00051D3D">
        <w:rPr>
          <w:color w:val="000000"/>
        </w:rPr>
        <w:t>40 (1):1-23.</w:t>
      </w:r>
    </w:p>
    <w:p w:rsidR="00E540D7" w:rsidRPr="00E540D7" w:rsidRDefault="00AF00F6" w:rsidP="003674D8">
      <w:pPr>
        <w:pStyle w:val="NormalWeb"/>
        <w:ind w:left="450" w:hanging="450"/>
        <w:rPr>
          <w:color w:val="000000"/>
        </w:rPr>
      </w:pPr>
      <w:proofErr w:type="spellStart"/>
      <w:r w:rsidRPr="00AF00F6">
        <w:rPr>
          <w:color w:val="000000"/>
        </w:rPr>
        <w:lastRenderedPageBreak/>
        <w:t>Davidov</w:t>
      </w:r>
      <w:proofErr w:type="spellEnd"/>
      <w:r w:rsidRPr="00AF00F6">
        <w:rPr>
          <w:color w:val="000000"/>
        </w:rPr>
        <w:t xml:space="preserve">, </w:t>
      </w:r>
      <w:proofErr w:type="spellStart"/>
      <w:r w:rsidRPr="00AF00F6">
        <w:rPr>
          <w:color w:val="000000"/>
        </w:rPr>
        <w:t>Eldad</w:t>
      </w:r>
      <w:proofErr w:type="spellEnd"/>
      <w:r w:rsidRPr="00AF00F6">
        <w:rPr>
          <w:color w:val="000000"/>
        </w:rPr>
        <w:t>. 2009. "Measurement Equivalence of Nationalism and Constructive Patriotism in the ISSP: 34 Countries in a Comparative Perspective."</w:t>
      </w:r>
      <w:r w:rsidRPr="00AF00F6">
        <w:rPr>
          <w:rStyle w:val="apple-converted-space"/>
          <w:color w:val="000000"/>
        </w:rPr>
        <w:t> </w:t>
      </w:r>
      <w:r w:rsidRPr="00AF00F6">
        <w:rPr>
          <w:i/>
          <w:iCs/>
          <w:color w:val="000000"/>
        </w:rPr>
        <w:t>Political Analysis</w:t>
      </w:r>
      <w:r w:rsidRPr="00AF00F6">
        <w:rPr>
          <w:rStyle w:val="apple-converted-space"/>
          <w:color w:val="000000"/>
        </w:rPr>
        <w:t> </w:t>
      </w:r>
      <w:r w:rsidRPr="00AF00F6">
        <w:rPr>
          <w:color w:val="000000"/>
        </w:rPr>
        <w:t>17 (1):64-82.</w:t>
      </w:r>
    </w:p>
    <w:p w:rsidR="003674D8" w:rsidRPr="00051D3D" w:rsidRDefault="003674D8" w:rsidP="003674D8">
      <w:pPr>
        <w:pStyle w:val="NormalWeb"/>
        <w:ind w:left="450" w:hanging="450"/>
        <w:rPr>
          <w:color w:val="000000"/>
        </w:rPr>
      </w:pPr>
      <w:r w:rsidRPr="00051D3D">
        <w:rPr>
          <w:color w:val="000000"/>
        </w:rPr>
        <w:t>Diamond, Larry. 2008.</w:t>
      </w:r>
      <w:r w:rsidRPr="00051D3D">
        <w:rPr>
          <w:rStyle w:val="apple-converted-space"/>
          <w:rFonts w:eastAsia="Batang"/>
          <w:color w:val="000000"/>
        </w:rPr>
        <w:t> </w:t>
      </w:r>
      <w:r>
        <w:rPr>
          <w:bCs/>
          <w:i/>
          <w:iCs/>
          <w:color w:val="000000"/>
        </w:rPr>
        <w:t>The Spirit of Democracy: The Struggle to Build Free Societies throughout the W</w:t>
      </w:r>
      <w:r w:rsidRPr="00205994">
        <w:rPr>
          <w:bCs/>
          <w:i/>
          <w:iCs/>
          <w:color w:val="000000"/>
        </w:rPr>
        <w:t>orld</w:t>
      </w:r>
      <w:r w:rsidRPr="00051D3D">
        <w:rPr>
          <w:color w:val="000000"/>
        </w:rPr>
        <w:t>. New York: Times Books/Henry Holt &amp; Company.</w:t>
      </w:r>
    </w:p>
    <w:p w:rsidR="003674D8" w:rsidRPr="00051D3D" w:rsidRDefault="003674D8" w:rsidP="003674D8">
      <w:pPr>
        <w:pStyle w:val="NormalWeb"/>
        <w:ind w:left="450" w:hanging="450"/>
        <w:rPr>
          <w:color w:val="000000"/>
        </w:rPr>
      </w:pPr>
      <w:proofErr w:type="gramStart"/>
      <w:r w:rsidRPr="00051D3D">
        <w:rPr>
          <w:color w:val="000000"/>
        </w:rPr>
        <w:t>Diamond, Larry J. 1999.</w:t>
      </w:r>
      <w:proofErr w:type="gramEnd"/>
      <w:r w:rsidRPr="00051D3D">
        <w:rPr>
          <w:rStyle w:val="apple-converted-space"/>
          <w:rFonts w:eastAsia="Batang"/>
          <w:color w:val="000000"/>
        </w:rPr>
        <w:t> </w:t>
      </w:r>
      <w:r>
        <w:rPr>
          <w:i/>
          <w:iCs/>
          <w:color w:val="000000"/>
        </w:rPr>
        <w:t>Developing Democracy: Toward C</w:t>
      </w:r>
      <w:r w:rsidRPr="00051D3D">
        <w:rPr>
          <w:i/>
          <w:iCs/>
          <w:color w:val="000000"/>
        </w:rPr>
        <w:t>onsolidation</w:t>
      </w:r>
      <w:r w:rsidRPr="00051D3D">
        <w:rPr>
          <w:color w:val="000000"/>
        </w:rPr>
        <w:t>. Baltimore: Johns Hopkins University Press.</w:t>
      </w:r>
    </w:p>
    <w:p w:rsidR="003674D8" w:rsidRPr="00051D3D" w:rsidRDefault="003674D8" w:rsidP="003674D8">
      <w:pPr>
        <w:pStyle w:val="NormalWeb"/>
        <w:ind w:left="450" w:hanging="450"/>
        <w:rPr>
          <w:color w:val="000000"/>
        </w:rPr>
      </w:pPr>
      <w:proofErr w:type="spellStart"/>
      <w:r w:rsidRPr="00051D3D">
        <w:rPr>
          <w:color w:val="000000"/>
        </w:rPr>
        <w:t>Dreher</w:t>
      </w:r>
      <w:proofErr w:type="spellEnd"/>
      <w:r w:rsidRPr="00051D3D">
        <w:rPr>
          <w:color w:val="000000"/>
        </w:rPr>
        <w:t>,</w:t>
      </w:r>
      <w:r>
        <w:rPr>
          <w:color w:val="000000"/>
        </w:rPr>
        <w:t xml:space="preserve"> </w:t>
      </w:r>
      <w:r w:rsidRPr="00051D3D">
        <w:rPr>
          <w:color w:val="000000"/>
        </w:rPr>
        <w:t xml:space="preserve">Axel. 2006. "Does Globalization Affect Growth? </w:t>
      </w:r>
      <w:proofErr w:type="gramStart"/>
      <w:r w:rsidRPr="00051D3D">
        <w:rPr>
          <w:color w:val="000000"/>
        </w:rPr>
        <w:t>Evidence from a New Index of Globalization."</w:t>
      </w:r>
      <w:proofErr w:type="gramEnd"/>
      <w:r w:rsidRPr="00051D3D">
        <w:rPr>
          <w:rStyle w:val="apple-converted-space"/>
          <w:rFonts w:eastAsia="Batang"/>
          <w:color w:val="000000"/>
        </w:rPr>
        <w:t> </w:t>
      </w:r>
      <w:r w:rsidRPr="00051D3D">
        <w:rPr>
          <w:i/>
          <w:iCs/>
          <w:color w:val="000000"/>
        </w:rPr>
        <w:t>Applied Economics</w:t>
      </w:r>
      <w:r w:rsidRPr="00051D3D">
        <w:rPr>
          <w:rStyle w:val="apple-converted-space"/>
          <w:rFonts w:eastAsia="Batang"/>
          <w:color w:val="000000"/>
        </w:rPr>
        <w:t> </w:t>
      </w:r>
      <w:r w:rsidRPr="00051D3D">
        <w:rPr>
          <w:color w:val="000000"/>
        </w:rPr>
        <w:t>38 (10):1091-110.</w:t>
      </w:r>
    </w:p>
    <w:p w:rsidR="003674D8" w:rsidRPr="00051D3D" w:rsidRDefault="003674D8" w:rsidP="003674D8">
      <w:pPr>
        <w:pStyle w:val="NormalWeb"/>
        <w:ind w:left="450" w:hanging="450"/>
        <w:rPr>
          <w:color w:val="000000"/>
        </w:rPr>
      </w:pPr>
      <w:r w:rsidRPr="00051D3D">
        <w:rPr>
          <w:color w:val="000000"/>
        </w:rPr>
        <w:t>Flanagan, Robert J. 2006.</w:t>
      </w:r>
      <w:r w:rsidRPr="00051D3D">
        <w:rPr>
          <w:rStyle w:val="apple-converted-space"/>
          <w:rFonts w:eastAsia="Batang"/>
          <w:color w:val="000000"/>
        </w:rPr>
        <w:t> </w:t>
      </w:r>
      <w:r w:rsidRPr="00051D3D">
        <w:rPr>
          <w:i/>
          <w:iCs/>
          <w:color w:val="000000"/>
        </w:rPr>
        <w:t>Globalization and labor conditions:</w:t>
      </w:r>
      <w:r w:rsidRPr="00051D3D">
        <w:rPr>
          <w:rStyle w:val="apple-converted-space"/>
          <w:rFonts w:eastAsia="Batang"/>
          <w:i/>
          <w:iCs/>
          <w:color w:val="000000"/>
        </w:rPr>
        <w:t> </w:t>
      </w:r>
      <w:r>
        <w:rPr>
          <w:rStyle w:val="apple-converted-space"/>
          <w:rFonts w:eastAsia="Batang"/>
          <w:i/>
          <w:iCs/>
          <w:color w:val="000000"/>
        </w:rPr>
        <w:t>Working</w:t>
      </w:r>
      <w:r w:rsidRPr="00051D3D">
        <w:rPr>
          <w:rStyle w:val="apple-converted-space"/>
          <w:rFonts w:eastAsia="Batang"/>
          <w:i/>
          <w:iCs/>
          <w:color w:val="000000"/>
        </w:rPr>
        <w:t> </w:t>
      </w:r>
      <w:r>
        <w:rPr>
          <w:i/>
          <w:iCs/>
          <w:color w:val="000000"/>
        </w:rPr>
        <w:t>Conditions and Workers R</w:t>
      </w:r>
      <w:r w:rsidRPr="00051D3D">
        <w:rPr>
          <w:i/>
          <w:iCs/>
          <w:color w:val="000000"/>
        </w:rPr>
        <w:t>i</w:t>
      </w:r>
      <w:r>
        <w:rPr>
          <w:i/>
          <w:iCs/>
          <w:color w:val="000000"/>
        </w:rPr>
        <w:t>ghts in a Global E</w:t>
      </w:r>
      <w:r w:rsidRPr="00051D3D">
        <w:rPr>
          <w:i/>
          <w:iCs/>
          <w:color w:val="000000"/>
        </w:rPr>
        <w:t>conomy</w:t>
      </w:r>
      <w:r w:rsidRPr="00051D3D">
        <w:rPr>
          <w:color w:val="000000"/>
        </w:rPr>
        <w:t>. New York: Oxford University Press.</w:t>
      </w:r>
    </w:p>
    <w:p w:rsidR="003674D8" w:rsidRPr="00051D3D" w:rsidRDefault="003674D8" w:rsidP="003674D8">
      <w:pPr>
        <w:pStyle w:val="NormalWeb"/>
        <w:ind w:left="450" w:hanging="450"/>
        <w:rPr>
          <w:color w:val="000000"/>
        </w:rPr>
      </w:pPr>
      <w:proofErr w:type="spellStart"/>
      <w:proofErr w:type="gramStart"/>
      <w:r w:rsidRPr="00051D3D">
        <w:rPr>
          <w:color w:val="000000"/>
        </w:rPr>
        <w:t>Foweraker</w:t>
      </w:r>
      <w:proofErr w:type="spellEnd"/>
      <w:r w:rsidRPr="00051D3D">
        <w:rPr>
          <w:color w:val="000000"/>
        </w:rPr>
        <w:t>,</w:t>
      </w:r>
      <w:r>
        <w:rPr>
          <w:color w:val="000000"/>
        </w:rPr>
        <w:t xml:space="preserve"> </w:t>
      </w:r>
      <w:r w:rsidRPr="00051D3D">
        <w:rPr>
          <w:color w:val="000000"/>
        </w:rPr>
        <w:t xml:space="preserve">Joe, and Roman </w:t>
      </w:r>
      <w:proofErr w:type="spellStart"/>
      <w:r w:rsidRPr="00051D3D">
        <w:rPr>
          <w:color w:val="000000"/>
        </w:rPr>
        <w:t>Krznaric</w:t>
      </w:r>
      <w:proofErr w:type="spellEnd"/>
      <w:r w:rsidRPr="00051D3D">
        <w:rPr>
          <w:color w:val="000000"/>
        </w:rPr>
        <w:t>.</w:t>
      </w:r>
      <w:proofErr w:type="gramEnd"/>
      <w:r w:rsidRPr="00051D3D">
        <w:rPr>
          <w:color w:val="000000"/>
        </w:rPr>
        <w:t xml:space="preserve"> 2000. "Measuring Liberal Democratic Performance: An Empirical and Conceptual Critique."</w:t>
      </w:r>
      <w:r w:rsidRPr="00051D3D">
        <w:rPr>
          <w:rStyle w:val="apple-converted-space"/>
          <w:rFonts w:eastAsia="Batang"/>
          <w:color w:val="000000"/>
        </w:rPr>
        <w:t> </w:t>
      </w:r>
      <w:r w:rsidRPr="00051D3D">
        <w:rPr>
          <w:i/>
          <w:iCs/>
          <w:color w:val="000000"/>
        </w:rPr>
        <w:t>Political Studies</w:t>
      </w:r>
      <w:r w:rsidRPr="00051D3D">
        <w:rPr>
          <w:rStyle w:val="apple-converted-space"/>
          <w:rFonts w:eastAsia="Batang"/>
          <w:color w:val="000000"/>
        </w:rPr>
        <w:t> </w:t>
      </w:r>
      <w:r w:rsidRPr="00051D3D">
        <w:rPr>
          <w:color w:val="000000"/>
        </w:rPr>
        <w:t>48 (4):759-87.</w:t>
      </w:r>
    </w:p>
    <w:p w:rsidR="003674D8" w:rsidRPr="00051D3D" w:rsidRDefault="003674D8" w:rsidP="003674D8">
      <w:pPr>
        <w:pStyle w:val="NormalWeb"/>
        <w:ind w:left="450" w:hanging="450"/>
        <w:rPr>
          <w:color w:val="000000"/>
        </w:rPr>
      </w:pPr>
      <w:r w:rsidRPr="00051D3D">
        <w:rPr>
          <w:color w:val="000000"/>
        </w:rPr>
        <w:t>———. 2002. "The Uneven Performance of Third Wave Democracies: Electoral Politics and the Imperfect Rule of Law in Latin America."</w:t>
      </w:r>
      <w:r w:rsidRPr="00051D3D">
        <w:rPr>
          <w:rStyle w:val="apple-converted-space"/>
          <w:rFonts w:eastAsia="Batang"/>
          <w:color w:val="000000"/>
        </w:rPr>
        <w:t> </w:t>
      </w:r>
      <w:r w:rsidRPr="00051D3D">
        <w:rPr>
          <w:i/>
          <w:iCs/>
          <w:color w:val="000000"/>
        </w:rPr>
        <w:t>Latin American Politics and Society</w:t>
      </w:r>
      <w:r w:rsidRPr="00051D3D">
        <w:rPr>
          <w:rStyle w:val="apple-converted-space"/>
          <w:rFonts w:eastAsia="Batang"/>
          <w:color w:val="000000"/>
        </w:rPr>
        <w:t> </w:t>
      </w:r>
      <w:r w:rsidRPr="00051D3D">
        <w:rPr>
          <w:color w:val="000000"/>
        </w:rPr>
        <w:t>44 (3):29-60.</w:t>
      </w:r>
    </w:p>
    <w:p w:rsidR="003674D8" w:rsidRPr="00051D3D" w:rsidRDefault="003674D8" w:rsidP="003674D8">
      <w:pPr>
        <w:pStyle w:val="NormalWeb"/>
        <w:ind w:left="450" w:hanging="450"/>
        <w:rPr>
          <w:color w:val="000000"/>
        </w:rPr>
      </w:pPr>
      <w:r w:rsidRPr="00051D3D">
        <w:rPr>
          <w:color w:val="000000"/>
        </w:rPr>
        <w:t>———. 2003. "</w:t>
      </w:r>
      <w:r>
        <w:rPr>
          <w:color w:val="000000"/>
        </w:rPr>
        <w:t>Differentiating the Democratic P</w:t>
      </w:r>
      <w:r w:rsidRPr="00051D3D">
        <w:rPr>
          <w:color w:val="000000"/>
        </w:rPr>
        <w:t>erformance of the West."</w:t>
      </w:r>
      <w:r w:rsidRPr="00051D3D">
        <w:rPr>
          <w:rStyle w:val="apple-converted-space"/>
          <w:rFonts w:eastAsia="Batang"/>
          <w:color w:val="000000"/>
        </w:rPr>
        <w:t> </w:t>
      </w:r>
      <w:r w:rsidRPr="00051D3D">
        <w:rPr>
          <w:i/>
          <w:iCs/>
          <w:color w:val="000000"/>
        </w:rPr>
        <w:t>European Journal of Political Research</w:t>
      </w:r>
      <w:r w:rsidRPr="00051D3D">
        <w:rPr>
          <w:rStyle w:val="apple-converted-space"/>
          <w:rFonts w:eastAsia="Batang"/>
          <w:color w:val="000000"/>
        </w:rPr>
        <w:t> </w:t>
      </w:r>
      <w:r w:rsidRPr="00051D3D">
        <w:rPr>
          <w:color w:val="000000"/>
        </w:rPr>
        <w:t>42 (3):313-40.</w:t>
      </w:r>
    </w:p>
    <w:p w:rsidR="003674D8" w:rsidRDefault="003674D8" w:rsidP="003674D8">
      <w:pPr>
        <w:pStyle w:val="NormalWeb"/>
        <w:ind w:left="450" w:hanging="450"/>
        <w:rPr>
          <w:color w:val="000000"/>
        </w:rPr>
      </w:pPr>
      <w:proofErr w:type="spellStart"/>
      <w:proofErr w:type="gramStart"/>
      <w:r>
        <w:rPr>
          <w:color w:val="000000"/>
        </w:rPr>
        <w:t>Franceschet</w:t>
      </w:r>
      <w:proofErr w:type="spellEnd"/>
      <w:r>
        <w:rPr>
          <w:color w:val="000000"/>
        </w:rPr>
        <w:t>, Susa and Laura Macdonald.</w:t>
      </w:r>
      <w:proofErr w:type="gramEnd"/>
      <w:r>
        <w:rPr>
          <w:color w:val="000000"/>
        </w:rPr>
        <w:t xml:space="preserve"> 2004. “</w:t>
      </w:r>
      <w:r w:rsidRPr="00C54F1C">
        <w:rPr>
          <w:color w:val="000000"/>
        </w:rPr>
        <w:t>Hard Times for Citizenship: Women’s Movements in Chile and Mexico”</w:t>
      </w:r>
      <w:r>
        <w:rPr>
          <w:color w:val="000000"/>
        </w:rPr>
        <w:t xml:space="preserve">. </w:t>
      </w:r>
      <w:r w:rsidRPr="00C54F1C">
        <w:rPr>
          <w:i/>
          <w:color w:val="000000"/>
        </w:rPr>
        <w:t>Citizenship Studies</w:t>
      </w:r>
      <w:r>
        <w:rPr>
          <w:color w:val="000000"/>
        </w:rPr>
        <w:t xml:space="preserve"> 8 (</w:t>
      </w:r>
      <w:r w:rsidRPr="00C54F1C">
        <w:rPr>
          <w:color w:val="000000"/>
        </w:rPr>
        <w:t>1</w:t>
      </w:r>
      <w:r>
        <w:rPr>
          <w:color w:val="000000"/>
        </w:rPr>
        <w:t xml:space="preserve">): </w:t>
      </w:r>
      <w:r w:rsidRPr="00C54F1C">
        <w:rPr>
          <w:color w:val="000000"/>
        </w:rPr>
        <w:t>3-23.</w:t>
      </w:r>
    </w:p>
    <w:p w:rsidR="00CB38E5" w:rsidRPr="00CB38E5" w:rsidRDefault="00CB38E5" w:rsidP="003674D8">
      <w:pPr>
        <w:pStyle w:val="NormalWeb"/>
        <w:ind w:left="450" w:hanging="450"/>
        <w:rPr>
          <w:color w:val="000000"/>
        </w:rPr>
      </w:pPr>
      <w:proofErr w:type="spellStart"/>
      <w:r>
        <w:rPr>
          <w:color w:val="000000"/>
        </w:rPr>
        <w:t>Gamson</w:t>
      </w:r>
      <w:proofErr w:type="spellEnd"/>
      <w:r>
        <w:rPr>
          <w:color w:val="000000"/>
        </w:rPr>
        <w:t xml:space="preserve">, William A. </w:t>
      </w:r>
      <w:r>
        <w:rPr>
          <w:i/>
          <w:color w:val="000000"/>
        </w:rPr>
        <w:t>The Strategy of Social Protest</w:t>
      </w:r>
      <w:r>
        <w:rPr>
          <w:color w:val="000000"/>
        </w:rPr>
        <w:t>, 2</w:t>
      </w:r>
      <w:r w:rsidRPr="00CB38E5">
        <w:rPr>
          <w:color w:val="000000"/>
          <w:vertAlign w:val="superscript"/>
        </w:rPr>
        <w:t>nd</w:t>
      </w:r>
      <w:r>
        <w:rPr>
          <w:color w:val="000000"/>
        </w:rPr>
        <w:t xml:space="preserve"> edition. Belmont, CA: Wadsworth Publishing.</w:t>
      </w:r>
    </w:p>
    <w:p w:rsidR="003674D8" w:rsidRPr="00051D3D" w:rsidRDefault="003674D8" w:rsidP="003674D8">
      <w:pPr>
        <w:pStyle w:val="NormalWeb"/>
        <w:ind w:left="450" w:hanging="450"/>
        <w:rPr>
          <w:color w:val="000000"/>
        </w:rPr>
      </w:pPr>
      <w:proofErr w:type="spellStart"/>
      <w:r w:rsidRPr="00051D3D">
        <w:rPr>
          <w:color w:val="000000"/>
        </w:rPr>
        <w:t>Giugni</w:t>
      </w:r>
      <w:proofErr w:type="spellEnd"/>
      <w:r w:rsidRPr="00051D3D">
        <w:rPr>
          <w:color w:val="000000"/>
        </w:rPr>
        <w:t xml:space="preserve">, Marco. 1999. "Introduction: How Social Movements Matter: Past Research, Present Problems, Future Developments." </w:t>
      </w:r>
      <w:proofErr w:type="gramStart"/>
      <w:r w:rsidRPr="00051D3D">
        <w:rPr>
          <w:color w:val="000000"/>
        </w:rPr>
        <w:t>In</w:t>
      </w:r>
      <w:r w:rsidRPr="00051D3D">
        <w:rPr>
          <w:rStyle w:val="apple-converted-space"/>
          <w:rFonts w:eastAsia="Batang"/>
          <w:color w:val="000000"/>
        </w:rPr>
        <w:t> </w:t>
      </w:r>
      <w:r w:rsidRPr="00051D3D">
        <w:rPr>
          <w:i/>
          <w:iCs/>
          <w:color w:val="000000"/>
        </w:rPr>
        <w:t xml:space="preserve">How </w:t>
      </w:r>
      <w:r>
        <w:rPr>
          <w:i/>
          <w:iCs/>
          <w:color w:val="000000"/>
        </w:rPr>
        <w:t>Social Movements M</w:t>
      </w:r>
      <w:r w:rsidRPr="00051D3D">
        <w:rPr>
          <w:i/>
          <w:iCs/>
          <w:color w:val="000000"/>
        </w:rPr>
        <w:t>atter,</w:t>
      </w:r>
      <w:r w:rsidRPr="00051D3D">
        <w:rPr>
          <w:rStyle w:val="apple-converted-space"/>
          <w:rFonts w:eastAsia="Batang"/>
          <w:color w:val="000000"/>
        </w:rPr>
        <w:t> </w:t>
      </w:r>
      <w:r w:rsidRPr="00051D3D">
        <w:rPr>
          <w:color w:val="000000"/>
        </w:rPr>
        <w:t xml:space="preserve">eds. Marco </w:t>
      </w:r>
      <w:proofErr w:type="spellStart"/>
      <w:r w:rsidRPr="00051D3D">
        <w:rPr>
          <w:color w:val="000000"/>
        </w:rPr>
        <w:t>Giugni</w:t>
      </w:r>
      <w:proofErr w:type="spellEnd"/>
      <w:r w:rsidRPr="00051D3D">
        <w:rPr>
          <w:color w:val="000000"/>
        </w:rPr>
        <w:t xml:space="preserve">, Doug </w:t>
      </w:r>
      <w:proofErr w:type="spellStart"/>
      <w:r w:rsidRPr="00051D3D">
        <w:rPr>
          <w:color w:val="000000"/>
        </w:rPr>
        <w:t>McAdam</w:t>
      </w:r>
      <w:proofErr w:type="spellEnd"/>
      <w:r w:rsidRPr="00051D3D">
        <w:rPr>
          <w:color w:val="000000"/>
        </w:rPr>
        <w:t xml:space="preserve"> and Charles Tilly.</w:t>
      </w:r>
      <w:proofErr w:type="gramEnd"/>
      <w:r w:rsidRPr="00051D3D">
        <w:rPr>
          <w:color w:val="000000"/>
        </w:rPr>
        <w:t xml:space="preserve"> University of Minnesota Press: Minneapolis.</w:t>
      </w:r>
    </w:p>
    <w:p w:rsidR="003674D8" w:rsidRPr="00051D3D" w:rsidRDefault="003674D8" w:rsidP="003674D8">
      <w:pPr>
        <w:pStyle w:val="NormalWeb"/>
        <w:ind w:left="450" w:hanging="450"/>
        <w:rPr>
          <w:color w:val="000000"/>
        </w:rPr>
      </w:pPr>
      <w:proofErr w:type="spellStart"/>
      <w:r w:rsidRPr="00051D3D">
        <w:rPr>
          <w:color w:val="000000"/>
        </w:rPr>
        <w:t>Giugni</w:t>
      </w:r>
      <w:proofErr w:type="spellEnd"/>
      <w:r w:rsidRPr="00051D3D">
        <w:rPr>
          <w:color w:val="000000"/>
        </w:rPr>
        <w:t xml:space="preserve">, Marco G. 1998. </w:t>
      </w:r>
      <w:proofErr w:type="gramStart"/>
      <w:r w:rsidRPr="00051D3D">
        <w:rPr>
          <w:color w:val="000000"/>
        </w:rPr>
        <w:t>"Introduction: Social Movements and Change: Incorporation, Transformation, and Democratization."</w:t>
      </w:r>
      <w:proofErr w:type="gramEnd"/>
      <w:r w:rsidRPr="00051D3D">
        <w:rPr>
          <w:color w:val="000000"/>
        </w:rPr>
        <w:t xml:space="preserve"> </w:t>
      </w:r>
      <w:proofErr w:type="gramStart"/>
      <w:r w:rsidRPr="00051D3D">
        <w:rPr>
          <w:color w:val="000000"/>
        </w:rPr>
        <w:t>In</w:t>
      </w:r>
      <w:r w:rsidRPr="00051D3D">
        <w:rPr>
          <w:rStyle w:val="apple-converted-space"/>
          <w:rFonts w:eastAsia="Batang"/>
          <w:color w:val="000000"/>
        </w:rPr>
        <w:t> </w:t>
      </w:r>
      <w:r w:rsidRPr="00051D3D">
        <w:rPr>
          <w:i/>
          <w:iCs/>
          <w:color w:val="000000"/>
        </w:rPr>
        <w:t xml:space="preserve">From </w:t>
      </w:r>
      <w:r>
        <w:rPr>
          <w:i/>
          <w:iCs/>
          <w:color w:val="000000"/>
        </w:rPr>
        <w:t>Contention to D</w:t>
      </w:r>
      <w:r w:rsidRPr="00051D3D">
        <w:rPr>
          <w:i/>
          <w:iCs/>
          <w:color w:val="000000"/>
        </w:rPr>
        <w:t>emocracy,</w:t>
      </w:r>
      <w:r w:rsidRPr="00051D3D">
        <w:rPr>
          <w:rStyle w:val="apple-converted-space"/>
          <w:rFonts w:eastAsia="Batang"/>
          <w:color w:val="000000"/>
        </w:rPr>
        <w:t> </w:t>
      </w:r>
      <w:r w:rsidRPr="00051D3D">
        <w:rPr>
          <w:color w:val="000000"/>
        </w:rPr>
        <w:t xml:space="preserve">eds. Marco G. </w:t>
      </w:r>
      <w:proofErr w:type="spellStart"/>
      <w:r w:rsidRPr="00051D3D">
        <w:rPr>
          <w:color w:val="000000"/>
        </w:rPr>
        <w:t>Giugni</w:t>
      </w:r>
      <w:proofErr w:type="spellEnd"/>
      <w:r w:rsidRPr="00051D3D">
        <w:rPr>
          <w:color w:val="000000"/>
        </w:rPr>
        <w:t xml:space="preserve">, Doug </w:t>
      </w:r>
      <w:proofErr w:type="spellStart"/>
      <w:r w:rsidRPr="00051D3D">
        <w:rPr>
          <w:color w:val="000000"/>
        </w:rPr>
        <w:t>McAdam</w:t>
      </w:r>
      <w:proofErr w:type="spellEnd"/>
      <w:r w:rsidRPr="00051D3D">
        <w:rPr>
          <w:color w:val="000000"/>
        </w:rPr>
        <w:t xml:space="preserve"> and Charles Tilly.</w:t>
      </w:r>
      <w:proofErr w:type="gramEnd"/>
      <w:r w:rsidRPr="00051D3D">
        <w:rPr>
          <w:color w:val="000000"/>
        </w:rPr>
        <w:t xml:space="preserve"> Lanham, MD: </w:t>
      </w:r>
      <w:proofErr w:type="spellStart"/>
      <w:r w:rsidRPr="00051D3D">
        <w:rPr>
          <w:color w:val="000000"/>
        </w:rPr>
        <w:t>Rowman</w:t>
      </w:r>
      <w:proofErr w:type="spellEnd"/>
      <w:r w:rsidRPr="00051D3D">
        <w:rPr>
          <w:color w:val="000000"/>
        </w:rPr>
        <w:t xml:space="preserve"> and Littlefield.</w:t>
      </w:r>
    </w:p>
    <w:p w:rsidR="00F43500" w:rsidRPr="00F43500" w:rsidRDefault="00AF00F6" w:rsidP="003674D8">
      <w:pPr>
        <w:pStyle w:val="NormalWeb"/>
        <w:ind w:left="450" w:hanging="450"/>
        <w:rPr>
          <w:color w:val="000000"/>
        </w:rPr>
      </w:pPr>
      <w:proofErr w:type="gramStart"/>
      <w:r w:rsidRPr="00AF00F6">
        <w:rPr>
          <w:color w:val="000000"/>
        </w:rPr>
        <w:t xml:space="preserve">Greif, </w:t>
      </w:r>
      <w:proofErr w:type="spellStart"/>
      <w:r w:rsidRPr="00AF00F6">
        <w:rPr>
          <w:color w:val="000000"/>
        </w:rPr>
        <w:t>Avner</w:t>
      </w:r>
      <w:proofErr w:type="spellEnd"/>
      <w:r w:rsidRPr="00AF00F6">
        <w:rPr>
          <w:color w:val="000000"/>
        </w:rPr>
        <w:t xml:space="preserve">, and David D. </w:t>
      </w:r>
      <w:proofErr w:type="spellStart"/>
      <w:r w:rsidRPr="00AF00F6">
        <w:rPr>
          <w:color w:val="000000"/>
        </w:rPr>
        <w:t>Laitin</w:t>
      </w:r>
      <w:proofErr w:type="spellEnd"/>
      <w:r w:rsidRPr="00AF00F6">
        <w:rPr>
          <w:color w:val="000000"/>
        </w:rPr>
        <w:t>.</w:t>
      </w:r>
      <w:proofErr w:type="gramEnd"/>
      <w:r w:rsidRPr="00AF00F6">
        <w:rPr>
          <w:color w:val="000000"/>
        </w:rPr>
        <w:t xml:space="preserve"> 2004. "A Theory of Endogenous Institutional Change."</w:t>
      </w:r>
      <w:r w:rsidRPr="00AF00F6">
        <w:rPr>
          <w:rStyle w:val="apple-converted-space"/>
          <w:color w:val="000000"/>
        </w:rPr>
        <w:t> </w:t>
      </w:r>
      <w:r w:rsidRPr="00AF00F6">
        <w:rPr>
          <w:i/>
          <w:iCs/>
          <w:color w:val="000000"/>
        </w:rPr>
        <w:t>American Political Science Review</w:t>
      </w:r>
      <w:r w:rsidRPr="00AF00F6">
        <w:rPr>
          <w:rStyle w:val="apple-converted-space"/>
          <w:color w:val="000000"/>
        </w:rPr>
        <w:t> </w:t>
      </w:r>
      <w:r w:rsidRPr="00AF00F6">
        <w:rPr>
          <w:color w:val="000000"/>
        </w:rPr>
        <w:t>98 (4):633-52.</w:t>
      </w:r>
    </w:p>
    <w:p w:rsidR="003674D8" w:rsidRPr="00051D3D" w:rsidRDefault="003674D8" w:rsidP="003674D8">
      <w:pPr>
        <w:pStyle w:val="NormalWeb"/>
        <w:ind w:left="450" w:hanging="450"/>
        <w:rPr>
          <w:color w:val="000000"/>
        </w:rPr>
      </w:pPr>
      <w:proofErr w:type="spellStart"/>
      <w:proofErr w:type="gramStart"/>
      <w:r w:rsidRPr="00051D3D">
        <w:rPr>
          <w:color w:val="000000"/>
        </w:rPr>
        <w:t>Helmke</w:t>
      </w:r>
      <w:proofErr w:type="spellEnd"/>
      <w:r w:rsidRPr="00051D3D">
        <w:rPr>
          <w:color w:val="000000"/>
        </w:rPr>
        <w:t>,</w:t>
      </w:r>
      <w:r>
        <w:rPr>
          <w:color w:val="000000"/>
        </w:rPr>
        <w:t xml:space="preserve"> </w:t>
      </w:r>
      <w:r w:rsidRPr="00051D3D">
        <w:rPr>
          <w:color w:val="000000"/>
        </w:rPr>
        <w:t xml:space="preserve">Gretchen, and Frances </w:t>
      </w:r>
      <w:proofErr w:type="spellStart"/>
      <w:r w:rsidRPr="00051D3D">
        <w:rPr>
          <w:color w:val="000000"/>
        </w:rPr>
        <w:t>Rosenbluth</w:t>
      </w:r>
      <w:proofErr w:type="spellEnd"/>
      <w:r w:rsidRPr="00051D3D">
        <w:rPr>
          <w:color w:val="000000"/>
        </w:rPr>
        <w:t>.</w:t>
      </w:r>
      <w:proofErr w:type="gramEnd"/>
      <w:r w:rsidRPr="00051D3D">
        <w:rPr>
          <w:color w:val="000000"/>
        </w:rPr>
        <w:t xml:space="preserve"> 2009. "Regimes and the Rule of Law: Judicial Independence in Comparative Perspective."</w:t>
      </w:r>
      <w:r w:rsidRPr="00051D3D">
        <w:rPr>
          <w:rStyle w:val="apple-converted-space"/>
          <w:rFonts w:eastAsia="Batang"/>
          <w:color w:val="000000"/>
        </w:rPr>
        <w:t> </w:t>
      </w:r>
      <w:r w:rsidRPr="00051D3D">
        <w:rPr>
          <w:i/>
          <w:iCs/>
          <w:color w:val="000000"/>
        </w:rPr>
        <w:t>Annual Review of Political Science</w:t>
      </w:r>
      <w:r w:rsidRPr="00051D3D">
        <w:rPr>
          <w:rStyle w:val="apple-converted-space"/>
          <w:rFonts w:eastAsia="Batang"/>
          <w:color w:val="000000"/>
        </w:rPr>
        <w:t> </w:t>
      </w:r>
      <w:r w:rsidR="0072161A">
        <w:rPr>
          <w:color w:val="000000"/>
        </w:rPr>
        <w:t>12</w:t>
      </w:r>
      <w:r w:rsidRPr="00051D3D">
        <w:rPr>
          <w:color w:val="000000"/>
        </w:rPr>
        <w:t>:345-66.</w:t>
      </w:r>
    </w:p>
    <w:p w:rsidR="003674D8" w:rsidRPr="00051D3D" w:rsidRDefault="003674D8" w:rsidP="003674D8">
      <w:pPr>
        <w:pStyle w:val="NormalWeb"/>
        <w:ind w:left="450" w:hanging="450"/>
        <w:rPr>
          <w:color w:val="000000"/>
        </w:rPr>
      </w:pPr>
      <w:proofErr w:type="spellStart"/>
      <w:proofErr w:type="gramStart"/>
      <w:r w:rsidRPr="00051D3D">
        <w:rPr>
          <w:color w:val="000000"/>
        </w:rPr>
        <w:t>Henisz</w:t>
      </w:r>
      <w:proofErr w:type="spellEnd"/>
      <w:r w:rsidRPr="00051D3D">
        <w:rPr>
          <w:color w:val="000000"/>
        </w:rPr>
        <w:t xml:space="preserve">, </w:t>
      </w:r>
      <w:proofErr w:type="spellStart"/>
      <w:r w:rsidRPr="00051D3D">
        <w:rPr>
          <w:color w:val="000000"/>
        </w:rPr>
        <w:t>Witold</w:t>
      </w:r>
      <w:proofErr w:type="spellEnd"/>
      <w:r w:rsidRPr="00051D3D">
        <w:rPr>
          <w:color w:val="000000"/>
        </w:rPr>
        <w:t xml:space="preserve"> J., and </w:t>
      </w:r>
      <w:proofErr w:type="spellStart"/>
      <w:r w:rsidRPr="00051D3D">
        <w:rPr>
          <w:color w:val="000000"/>
        </w:rPr>
        <w:t>Bennet</w:t>
      </w:r>
      <w:proofErr w:type="spellEnd"/>
      <w:r w:rsidRPr="00051D3D">
        <w:rPr>
          <w:color w:val="000000"/>
        </w:rPr>
        <w:t xml:space="preserve"> A. </w:t>
      </w:r>
      <w:proofErr w:type="spellStart"/>
      <w:r w:rsidRPr="00051D3D">
        <w:rPr>
          <w:color w:val="000000"/>
        </w:rPr>
        <w:t>Zelner</w:t>
      </w:r>
      <w:proofErr w:type="spellEnd"/>
      <w:r w:rsidRPr="00051D3D">
        <w:rPr>
          <w:color w:val="000000"/>
        </w:rPr>
        <w:t>.</w:t>
      </w:r>
      <w:proofErr w:type="gramEnd"/>
      <w:r w:rsidRPr="00051D3D">
        <w:rPr>
          <w:color w:val="000000"/>
        </w:rPr>
        <w:t xml:space="preserve"> 2010. "The Political Constraints Index (POLCON) Dataset." </w:t>
      </w:r>
      <w:proofErr w:type="gramStart"/>
      <w:r>
        <w:rPr>
          <w:color w:val="000000"/>
        </w:rPr>
        <w:t xml:space="preserve">Retrieved from </w:t>
      </w:r>
      <w:hyperlink r:id="rId10" w:tgtFrame="_blank" w:history="1">
        <w:r w:rsidRPr="00051D3D">
          <w:rPr>
            <w:rStyle w:val="Hyperlink"/>
          </w:rPr>
          <w:t>http://www-management.wharton.upenn.edu/henisz/</w:t>
        </w:r>
      </w:hyperlink>
      <w:r w:rsidRPr="00051D3D">
        <w:rPr>
          <w:color w:val="000000"/>
        </w:rPr>
        <w:t>.</w:t>
      </w:r>
      <w:proofErr w:type="gramEnd"/>
    </w:p>
    <w:p w:rsidR="003674D8" w:rsidRPr="005A6940" w:rsidRDefault="003674D8" w:rsidP="003674D8">
      <w:pPr>
        <w:pStyle w:val="NormalWeb"/>
        <w:ind w:left="450" w:hanging="450"/>
        <w:rPr>
          <w:color w:val="000000"/>
        </w:rPr>
      </w:pPr>
      <w:r>
        <w:rPr>
          <w:color w:val="000000"/>
        </w:rPr>
        <w:lastRenderedPageBreak/>
        <w:t xml:space="preserve">Hochstetler, Kathryn. </w:t>
      </w:r>
      <w:proofErr w:type="gramStart"/>
      <w:r>
        <w:rPr>
          <w:color w:val="000000"/>
        </w:rPr>
        <w:t xml:space="preserve">2006. Rethinking </w:t>
      </w:r>
      <w:proofErr w:type="spellStart"/>
      <w:r>
        <w:rPr>
          <w:color w:val="000000"/>
        </w:rPr>
        <w:t>Presidentialism</w:t>
      </w:r>
      <w:proofErr w:type="spellEnd"/>
      <w:r>
        <w:rPr>
          <w:color w:val="000000"/>
        </w:rPr>
        <w:t>: Challenges and Presidential Falls in South America.”</w:t>
      </w:r>
      <w:proofErr w:type="gramEnd"/>
      <w:r>
        <w:rPr>
          <w:color w:val="000000"/>
        </w:rPr>
        <w:t xml:space="preserve"> </w:t>
      </w:r>
      <w:r>
        <w:rPr>
          <w:i/>
          <w:color w:val="000000"/>
        </w:rPr>
        <w:t>Comparative Politics</w:t>
      </w:r>
      <w:r>
        <w:rPr>
          <w:color w:val="000000"/>
        </w:rPr>
        <w:t xml:space="preserve"> 38 (4): 401-418.</w:t>
      </w:r>
    </w:p>
    <w:p w:rsidR="003674D8" w:rsidRPr="00051D3D" w:rsidRDefault="003674D8" w:rsidP="003674D8">
      <w:pPr>
        <w:pStyle w:val="NormalWeb"/>
        <w:ind w:left="450" w:hanging="450"/>
        <w:rPr>
          <w:color w:val="000000"/>
        </w:rPr>
      </w:pPr>
      <w:proofErr w:type="spellStart"/>
      <w:proofErr w:type="gramStart"/>
      <w:r w:rsidRPr="00051D3D">
        <w:rPr>
          <w:color w:val="000000"/>
        </w:rPr>
        <w:t>Inglehart</w:t>
      </w:r>
      <w:proofErr w:type="spellEnd"/>
      <w:r w:rsidRPr="00051D3D">
        <w:rPr>
          <w:color w:val="000000"/>
        </w:rPr>
        <w:t xml:space="preserve">, Ronald, and Christian </w:t>
      </w:r>
      <w:proofErr w:type="spellStart"/>
      <w:r w:rsidRPr="00051D3D">
        <w:rPr>
          <w:color w:val="000000"/>
        </w:rPr>
        <w:t>Welzel</w:t>
      </w:r>
      <w:proofErr w:type="spellEnd"/>
      <w:r w:rsidRPr="00051D3D">
        <w:rPr>
          <w:color w:val="000000"/>
        </w:rPr>
        <w:t>.</w:t>
      </w:r>
      <w:proofErr w:type="gramEnd"/>
      <w:r w:rsidRPr="00051D3D">
        <w:rPr>
          <w:color w:val="000000"/>
        </w:rPr>
        <w:t xml:space="preserve"> 2005.</w:t>
      </w:r>
      <w:r w:rsidRPr="00051D3D">
        <w:rPr>
          <w:rStyle w:val="apple-converted-space"/>
          <w:rFonts w:eastAsia="Batang"/>
          <w:color w:val="000000"/>
        </w:rPr>
        <w:t> </w:t>
      </w:r>
      <w:r>
        <w:rPr>
          <w:i/>
          <w:iCs/>
          <w:color w:val="000000"/>
        </w:rPr>
        <w:t>Modernization, Cultural Change, and Democracy: The Human Development S</w:t>
      </w:r>
      <w:r w:rsidRPr="00051D3D">
        <w:rPr>
          <w:i/>
          <w:iCs/>
          <w:color w:val="000000"/>
        </w:rPr>
        <w:t>equence</w:t>
      </w:r>
      <w:r w:rsidRPr="00051D3D">
        <w:rPr>
          <w:color w:val="000000"/>
        </w:rPr>
        <w:t>. Cambridge, New York: Cambridge University Press.</w:t>
      </w:r>
    </w:p>
    <w:p w:rsidR="003674D8" w:rsidRPr="000E70E2" w:rsidRDefault="003674D8" w:rsidP="003674D8">
      <w:pPr>
        <w:pStyle w:val="NormalWeb"/>
        <w:ind w:left="450" w:hanging="450"/>
        <w:rPr>
          <w:color w:val="000000"/>
        </w:rPr>
      </w:pPr>
      <w:proofErr w:type="gramStart"/>
      <w:r w:rsidRPr="000E70E2">
        <w:rPr>
          <w:color w:val="000000"/>
        </w:rPr>
        <w:t>International Institute for Democracy and Electoral Assistance.</w:t>
      </w:r>
      <w:proofErr w:type="gramEnd"/>
      <w:r w:rsidRPr="000E70E2">
        <w:rPr>
          <w:color w:val="000000"/>
        </w:rPr>
        <w:t xml:space="preserve"> 2012. "Unified</w:t>
      </w:r>
      <w:r>
        <w:rPr>
          <w:color w:val="000000"/>
        </w:rPr>
        <w:t xml:space="preserve"> </w:t>
      </w:r>
      <w:r w:rsidRPr="000E70E2">
        <w:rPr>
          <w:color w:val="000000"/>
        </w:rPr>
        <w:t>Database."</w:t>
      </w:r>
      <w:r w:rsidRPr="000E70E2">
        <w:rPr>
          <w:rStyle w:val="apple-converted-space"/>
          <w:color w:val="000000"/>
        </w:rPr>
        <w:t> </w:t>
      </w:r>
      <w:proofErr w:type="gramStart"/>
      <w:r>
        <w:rPr>
          <w:rStyle w:val="apple-converted-space"/>
          <w:color w:val="000000"/>
        </w:rPr>
        <w:t xml:space="preserve">Retrieved from </w:t>
      </w:r>
      <w:hyperlink r:id="rId11" w:tgtFrame="_blank" w:history="1">
        <w:r w:rsidRPr="000E70E2">
          <w:rPr>
            <w:rStyle w:val="Hyperlink"/>
            <w:rFonts w:eastAsia="Batang"/>
          </w:rPr>
          <w:t>http://www.idea.int/resources/databases.cfm</w:t>
        </w:r>
      </w:hyperlink>
      <w:r>
        <w:t>.</w:t>
      </w:r>
      <w:proofErr w:type="gramEnd"/>
      <w:r>
        <w:t xml:space="preserve"> </w:t>
      </w:r>
      <w:r w:rsidRPr="000E70E2">
        <w:rPr>
          <w:rStyle w:val="apple-converted-space"/>
          <w:color w:val="000000"/>
        </w:rPr>
        <w:t> </w:t>
      </w:r>
    </w:p>
    <w:p w:rsidR="003674D8" w:rsidRPr="00051D3D" w:rsidRDefault="003674D8" w:rsidP="003674D8">
      <w:pPr>
        <w:pStyle w:val="NormalWeb"/>
        <w:ind w:left="450" w:hanging="450"/>
        <w:rPr>
          <w:color w:val="000000"/>
        </w:rPr>
      </w:pPr>
      <w:r w:rsidRPr="00051D3D">
        <w:rPr>
          <w:color w:val="000000"/>
        </w:rPr>
        <w:t>Johnston, Hank. 2011.</w:t>
      </w:r>
      <w:r w:rsidRPr="00051D3D">
        <w:rPr>
          <w:rStyle w:val="apple-converted-space"/>
          <w:rFonts w:eastAsia="Batang"/>
          <w:color w:val="000000"/>
        </w:rPr>
        <w:t> </w:t>
      </w:r>
      <w:r>
        <w:rPr>
          <w:i/>
          <w:iCs/>
          <w:color w:val="000000"/>
        </w:rPr>
        <w:t>States and Social M</w:t>
      </w:r>
      <w:r w:rsidRPr="00051D3D">
        <w:rPr>
          <w:i/>
          <w:iCs/>
          <w:color w:val="000000"/>
        </w:rPr>
        <w:t>ovements</w:t>
      </w:r>
      <w:r w:rsidRPr="00051D3D">
        <w:rPr>
          <w:color w:val="000000"/>
        </w:rPr>
        <w:t>. Malden, MA: Polity Press.</w:t>
      </w:r>
    </w:p>
    <w:p w:rsidR="00654654" w:rsidRPr="00654654" w:rsidRDefault="00AF00F6" w:rsidP="003674D8">
      <w:pPr>
        <w:pStyle w:val="NormalWeb"/>
        <w:ind w:left="450" w:hanging="450"/>
        <w:rPr>
          <w:color w:val="000000"/>
        </w:rPr>
      </w:pPr>
      <w:proofErr w:type="spellStart"/>
      <w:proofErr w:type="gramStart"/>
      <w:r w:rsidRPr="00AF00F6">
        <w:rPr>
          <w:color w:val="000000"/>
        </w:rPr>
        <w:t>Kapstein</w:t>
      </w:r>
      <w:proofErr w:type="spellEnd"/>
      <w:r w:rsidRPr="00AF00F6">
        <w:rPr>
          <w:color w:val="000000"/>
        </w:rPr>
        <w:t>, Ethan B., and Nathan Converse.</w:t>
      </w:r>
      <w:proofErr w:type="gramEnd"/>
      <w:r w:rsidRPr="00AF00F6">
        <w:rPr>
          <w:color w:val="000000"/>
        </w:rPr>
        <w:t xml:space="preserve"> 2008.</w:t>
      </w:r>
      <w:r w:rsidRPr="00AF00F6">
        <w:rPr>
          <w:rStyle w:val="apple-converted-space"/>
          <w:color w:val="000000"/>
        </w:rPr>
        <w:t> </w:t>
      </w:r>
      <w:r w:rsidRPr="00AF00F6">
        <w:rPr>
          <w:i/>
          <w:iCs/>
          <w:color w:val="000000"/>
        </w:rPr>
        <w:t>The fate of young democracies</w:t>
      </w:r>
      <w:r w:rsidRPr="00AF00F6">
        <w:rPr>
          <w:color w:val="000000"/>
        </w:rPr>
        <w:t>. New York: Cambridge University Press.</w:t>
      </w:r>
      <w:r w:rsidR="00654654" w:rsidRPr="00654654">
        <w:rPr>
          <w:color w:val="000000"/>
        </w:rPr>
        <w:t xml:space="preserve"> </w:t>
      </w:r>
    </w:p>
    <w:p w:rsidR="003674D8" w:rsidRPr="00051D3D" w:rsidRDefault="003674D8" w:rsidP="003674D8">
      <w:pPr>
        <w:pStyle w:val="NormalWeb"/>
        <w:ind w:left="450" w:hanging="450"/>
        <w:rPr>
          <w:color w:val="000000"/>
        </w:rPr>
      </w:pPr>
      <w:proofErr w:type="spellStart"/>
      <w:r w:rsidRPr="00051D3D">
        <w:rPr>
          <w:color w:val="000000"/>
        </w:rPr>
        <w:t>Kitschelt</w:t>
      </w:r>
      <w:proofErr w:type="spellEnd"/>
      <w:r w:rsidRPr="00051D3D">
        <w:rPr>
          <w:color w:val="000000"/>
        </w:rPr>
        <w:t>,</w:t>
      </w:r>
      <w:r>
        <w:rPr>
          <w:color w:val="000000"/>
        </w:rPr>
        <w:t xml:space="preserve"> </w:t>
      </w:r>
      <w:r w:rsidRPr="00051D3D">
        <w:rPr>
          <w:color w:val="000000"/>
        </w:rPr>
        <w:t>Herbert P. 1986. "Political Opportunity Structures and Political Protest: Anti-Nuclear Movements in Four Democracies."</w:t>
      </w:r>
      <w:r w:rsidRPr="00051D3D">
        <w:rPr>
          <w:rStyle w:val="apple-converted-space"/>
          <w:rFonts w:eastAsia="Batang"/>
          <w:color w:val="000000"/>
        </w:rPr>
        <w:t> </w:t>
      </w:r>
      <w:r w:rsidRPr="00051D3D">
        <w:rPr>
          <w:i/>
          <w:iCs/>
          <w:color w:val="000000"/>
        </w:rPr>
        <w:t>British Journal of Political Science</w:t>
      </w:r>
      <w:r w:rsidRPr="00051D3D">
        <w:rPr>
          <w:rStyle w:val="apple-converted-space"/>
          <w:rFonts w:eastAsia="Batang"/>
          <w:color w:val="000000"/>
        </w:rPr>
        <w:t> </w:t>
      </w:r>
      <w:r w:rsidRPr="00051D3D">
        <w:rPr>
          <w:color w:val="000000"/>
        </w:rPr>
        <w:t>16 (1) (January):57-85.</w:t>
      </w:r>
    </w:p>
    <w:p w:rsidR="003674D8" w:rsidRPr="00051D3D" w:rsidRDefault="003674D8" w:rsidP="003674D8">
      <w:pPr>
        <w:pStyle w:val="NormalWeb"/>
        <w:ind w:left="450" w:hanging="450"/>
        <w:rPr>
          <w:color w:val="000000"/>
        </w:rPr>
      </w:pPr>
      <w:r w:rsidRPr="00051D3D">
        <w:rPr>
          <w:color w:val="000000"/>
        </w:rPr>
        <w:t>Koopmans,</w:t>
      </w:r>
      <w:r>
        <w:rPr>
          <w:color w:val="000000"/>
        </w:rPr>
        <w:t xml:space="preserve"> </w:t>
      </w:r>
      <w:r w:rsidRPr="00051D3D">
        <w:rPr>
          <w:color w:val="000000"/>
        </w:rPr>
        <w:t xml:space="preserve">Ruud. 1999. "Political. </w:t>
      </w:r>
      <w:proofErr w:type="gramStart"/>
      <w:r w:rsidRPr="00051D3D">
        <w:rPr>
          <w:color w:val="000000"/>
        </w:rPr>
        <w:t>Opportunity.</w:t>
      </w:r>
      <w:proofErr w:type="gramEnd"/>
      <w:r w:rsidRPr="00051D3D">
        <w:rPr>
          <w:color w:val="000000"/>
        </w:rPr>
        <w:t xml:space="preserve"> </w:t>
      </w:r>
      <w:proofErr w:type="gramStart"/>
      <w:r w:rsidRPr="00051D3D">
        <w:rPr>
          <w:color w:val="000000"/>
        </w:rPr>
        <w:t>Structure.</w:t>
      </w:r>
      <w:proofErr w:type="gramEnd"/>
      <w:r w:rsidRPr="00051D3D">
        <w:rPr>
          <w:color w:val="000000"/>
        </w:rPr>
        <w:t xml:space="preserve"> Some Splitting to Balance the Lumping."</w:t>
      </w:r>
      <w:r w:rsidRPr="00051D3D">
        <w:rPr>
          <w:rStyle w:val="apple-converted-space"/>
          <w:rFonts w:eastAsia="Batang"/>
          <w:color w:val="000000"/>
        </w:rPr>
        <w:t> </w:t>
      </w:r>
      <w:r w:rsidRPr="00051D3D">
        <w:rPr>
          <w:i/>
          <w:iCs/>
          <w:color w:val="000000"/>
        </w:rPr>
        <w:t>Sociological Forum</w:t>
      </w:r>
      <w:r w:rsidRPr="00051D3D">
        <w:rPr>
          <w:rStyle w:val="apple-converted-space"/>
          <w:rFonts w:eastAsia="Batang"/>
          <w:color w:val="000000"/>
        </w:rPr>
        <w:t> </w:t>
      </w:r>
      <w:r w:rsidRPr="00051D3D">
        <w:rPr>
          <w:color w:val="000000"/>
        </w:rPr>
        <w:t>14 (1):93-105.</w:t>
      </w:r>
    </w:p>
    <w:p w:rsidR="003674D8" w:rsidRPr="00051D3D" w:rsidRDefault="003674D8" w:rsidP="003674D8">
      <w:pPr>
        <w:pStyle w:val="NormalWeb"/>
        <w:ind w:left="450" w:hanging="450"/>
        <w:rPr>
          <w:color w:val="000000"/>
        </w:rPr>
      </w:pPr>
      <w:proofErr w:type="spellStart"/>
      <w:r w:rsidRPr="00051D3D">
        <w:rPr>
          <w:color w:val="000000"/>
        </w:rPr>
        <w:t>Lijphart</w:t>
      </w:r>
      <w:proofErr w:type="spellEnd"/>
      <w:r w:rsidRPr="00051D3D">
        <w:rPr>
          <w:color w:val="000000"/>
        </w:rPr>
        <w:t xml:space="preserve">, Arendt. 1993. "Constitutional Choices for New Democracies." </w:t>
      </w:r>
      <w:proofErr w:type="gramStart"/>
      <w:r w:rsidRPr="00051D3D">
        <w:rPr>
          <w:color w:val="000000"/>
        </w:rPr>
        <w:t>In</w:t>
      </w:r>
      <w:r w:rsidRPr="00051D3D">
        <w:rPr>
          <w:rStyle w:val="apple-converted-space"/>
          <w:rFonts w:eastAsia="Batang"/>
          <w:color w:val="000000"/>
        </w:rPr>
        <w:t> </w:t>
      </w:r>
      <w:r>
        <w:rPr>
          <w:i/>
          <w:iCs/>
          <w:color w:val="000000"/>
        </w:rPr>
        <w:t>The Global Resurgence of D</w:t>
      </w:r>
      <w:r w:rsidRPr="00051D3D">
        <w:rPr>
          <w:i/>
          <w:iCs/>
          <w:color w:val="000000"/>
        </w:rPr>
        <w:t>emocracy,</w:t>
      </w:r>
      <w:r w:rsidRPr="00051D3D">
        <w:rPr>
          <w:rStyle w:val="apple-converted-space"/>
          <w:rFonts w:eastAsia="Batang"/>
          <w:color w:val="000000"/>
        </w:rPr>
        <w:t> </w:t>
      </w:r>
      <w:r w:rsidRPr="00051D3D">
        <w:rPr>
          <w:color w:val="000000"/>
        </w:rPr>
        <w:t xml:space="preserve">eds. Larry Diamond, Marc F. </w:t>
      </w:r>
      <w:proofErr w:type="spellStart"/>
      <w:r w:rsidRPr="00051D3D">
        <w:rPr>
          <w:color w:val="000000"/>
        </w:rPr>
        <w:t>Plattner</w:t>
      </w:r>
      <w:proofErr w:type="spellEnd"/>
      <w:r w:rsidRPr="00051D3D">
        <w:rPr>
          <w:color w:val="000000"/>
        </w:rPr>
        <w:t>.</w:t>
      </w:r>
      <w:proofErr w:type="gramEnd"/>
      <w:r w:rsidRPr="00051D3D">
        <w:rPr>
          <w:color w:val="000000"/>
        </w:rPr>
        <w:t xml:space="preserve"> Baltimore, MD: Johns Hopkins University Press.</w:t>
      </w:r>
    </w:p>
    <w:p w:rsidR="003674D8" w:rsidRPr="00051D3D" w:rsidRDefault="003674D8" w:rsidP="003674D8">
      <w:pPr>
        <w:pStyle w:val="NormalWeb"/>
        <w:ind w:left="450" w:hanging="450"/>
        <w:rPr>
          <w:color w:val="000000"/>
        </w:rPr>
      </w:pPr>
      <w:proofErr w:type="gramStart"/>
      <w:r w:rsidRPr="00051D3D">
        <w:rPr>
          <w:color w:val="000000"/>
        </w:rPr>
        <w:t xml:space="preserve">Marshall, Monty G., Keith </w:t>
      </w:r>
      <w:proofErr w:type="spellStart"/>
      <w:r w:rsidRPr="00051D3D">
        <w:rPr>
          <w:color w:val="000000"/>
        </w:rPr>
        <w:t>Jaggers</w:t>
      </w:r>
      <w:proofErr w:type="spellEnd"/>
      <w:r w:rsidRPr="00051D3D">
        <w:rPr>
          <w:color w:val="000000"/>
        </w:rPr>
        <w:t xml:space="preserve"> and Ted Robert </w:t>
      </w:r>
      <w:proofErr w:type="spellStart"/>
      <w:r w:rsidRPr="00051D3D">
        <w:rPr>
          <w:color w:val="000000"/>
        </w:rPr>
        <w:t>Gurr</w:t>
      </w:r>
      <w:proofErr w:type="spellEnd"/>
      <w:r w:rsidRPr="00051D3D">
        <w:rPr>
          <w:color w:val="000000"/>
        </w:rPr>
        <w:t>.</w:t>
      </w:r>
      <w:proofErr w:type="gramEnd"/>
      <w:r w:rsidRPr="00051D3D">
        <w:rPr>
          <w:color w:val="000000"/>
        </w:rPr>
        <w:t xml:space="preserve"> 2011.</w:t>
      </w:r>
      <w:r w:rsidRPr="00051D3D">
        <w:rPr>
          <w:rStyle w:val="apple-converted-space"/>
          <w:rFonts w:eastAsia="Batang"/>
          <w:color w:val="000000"/>
        </w:rPr>
        <w:t> </w:t>
      </w:r>
      <w:r>
        <w:rPr>
          <w:i/>
          <w:iCs/>
          <w:color w:val="000000"/>
        </w:rPr>
        <w:t>Polity IV Project: Political Regime Characteristics and Transitions, 1800-2010, Dataset Users' M</w:t>
      </w:r>
      <w:r w:rsidRPr="00051D3D">
        <w:rPr>
          <w:i/>
          <w:iCs/>
          <w:color w:val="000000"/>
        </w:rPr>
        <w:t>anual.</w:t>
      </w:r>
      <w:r w:rsidRPr="00051D3D">
        <w:rPr>
          <w:rStyle w:val="apple-converted-space"/>
          <w:rFonts w:eastAsia="Batang"/>
          <w:i/>
          <w:iCs/>
          <w:color w:val="000000"/>
        </w:rPr>
        <w:t> </w:t>
      </w:r>
      <w:r w:rsidRPr="00051D3D">
        <w:rPr>
          <w:color w:val="000000"/>
        </w:rPr>
        <w:t>College Park: Center for International Development and Conflict Mana</w:t>
      </w:r>
      <w:r>
        <w:rPr>
          <w:color w:val="000000"/>
        </w:rPr>
        <w:t>gement, University of Maryland</w:t>
      </w:r>
      <w:r w:rsidRPr="00051D3D">
        <w:rPr>
          <w:color w:val="000000"/>
        </w:rPr>
        <w:t>.</w:t>
      </w:r>
    </w:p>
    <w:p w:rsidR="00F43500" w:rsidRPr="00F43500" w:rsidRDefault="00AF00F6" w:rsidP="003674D8">
      <w:pPr>
        <w:pStyle w:val="NormalWeb"/>
        <w:ind w:left="450" w:hanging="450"/>
        <w:rPr>
          <w:color w:val="000000"/>
        </w:rPr>
      </w:pPr>
      <w:r w:rsidRPr="00AF00F6">
        <w:rPr>
          <w:color w:val="000000"/>
        </w:rPr>
        <w:t xml:space="preserve">Meyer, David S. 2004. </w:t>
      </w:r>
      <w:proofErr w:type="gramStart"/>
      <w:r w:rsidRPr="00AF00F6">
        <w:rPr>
          <w:color w:val="000000"/>
        </w:rPr>
        <w:t>"Protest and Political Opportunities."</w:t>
      </w:r>
      <w:proofErr w:type="gramEnd"/>
      <w:r w:rsidRPr="00AF00F6">
        <w:rPr>
          <w:rStyle w:val="apple-converted-space"/>
          <w:color w:val="000000"/>
        </w:rPr>
        <w:t> </w:t>
      </w:r>
      <w:r w:rsidRPr="00AF00F6">
        <w:rPr>
          <w:i/>
          <w:iCs/>
          <w:color w:val="000000"/>
        </w:rPr>
        <w:t>Annual Review of Sociology</w:t>
      </w:r>
      <w:r w:rsidRPr="00AF00F6">
        <w:rPr>
          <w:rStyle w:val="apple-converted-space"/>
          <w:color w:val="000000"/>
        </w:rPr>
        <w:t> </w:t>
      </w:r>
      <w:r w:rsidR="0072161A">
        <w:rPr>
          <w:color w:val="000000"/>
        </w:rPr>
        <w:t>30</w:t>
      </w:r>
      <w:r w:rsidRPr="00AF00F6">
        <w:rPr>
          <w:color w:val="000000"/>
        </w:rPr>
        <w:t>:125-45.</w:t>
      </w:r>
    </w:p>
    <w:p w:rsidR="003674D8" w:rsidRPr="00051D3D" w:rsidRDefault="003674D8" w:rsidP="003674D8">
      <w:pPr>
        <w:pStyle w:val="NormalWeb"/>
        <w:ind w:left="450" w:hanging="450"/>
        <w:rPr>
          <w:color w:val="000000"/>
        </w:rPr>
      </w:pPr>
      <w:proofErr w:type="gramStart"/>
      <w:r w:rsidRPr="00051D3D">
        <w:rPr>
          <w:color w:val="000000"/>
        </w:rPr>
        <w:t>Mosley,</w:t>
      </w:r>
      <w:r>
        <w:rPr>
          <w:color w:val="000000"/>
        </w:rPr>
        <w:t xml:space="preserve"> </w:t>
      </w:r>
      <w:proofErr w:type="spellStart"/>
      <w:r w:rsidRPr="00051D3D">
        <w:rPr>
          <w:color w:val="000000"/>
        </w:rPr>
        <w:t>Layna</w:t>
      </w:r>
      <w:proofErr w:type="spellEnd"/>
      <w:r w:rsidRPr="00051D3D">
        <w:rPr>
          <w:color w:val="000000"/>
        </w:rPr>
        <w:t xml:space="preserve">, and </w:t>
      </w:r>
      <w:proofErr w:type="spellStart"/>
      <w:r w:rsidRPr="00051D3D">
        <w:rPr>
          <w:color w:val="000000"/>
        </w:rPr>
        <w:t>Saika</w:t>
      </w:r>
      <w:proofErr w:type="spellEnd"/>
      <w:r w:rsidRPr="00051D3D">
        <w:rPr>
          <w:color w:val="000000"/>
        </w:rPr>
        <w:t xml:space="preserve"> Uno.</w:t>
      </w:r>
      <w:proofErr w:type="gramEnd"/>
      <w:r w:rsidRPr="00051D3D">
        <w:rPr>
          <w:color w:val="000000"/>
        </w:rPr>
        <w:t xml:space="preserve"> 2007. "Racing to the Bottom or Climbing to the Top? </w:t>
      </w:r>
      <w:proofErr w:type="gramStart"/>
      <w:r w:rsidRPr="00051D3D">
        <w:rPr>
          <w:color w:val="000000"/>
        </w:rPr>
        <w:t>Economic Globalization and Labor Rights."</w:t>
      </w:r>
      <w:proofErr w:type="gramEnd"/>
      <w:r w:rsidRPr="00051D3D">
        <w:rPr>
          <w:rStyle w:val="apple-converted-space"/>
          <w:rFonts w:eastAsia="Batang"/>
          <w:color w:val="000000"/>
        </w:rPr>
        <w:t> </w:t>
      </w:r>
      <w:r w:rsidRPr="00051D3D">
        <w:rPr>
          <w:i/>
          <w:iCs/>
          <w:color w:val="000000"/>
        </w:rPr>
        <w:t>Comparative Political Studies</w:t>
      </w:r>
      <w:r w:rsidRPr="00051D3D">
        <w:rPr>
          <w:rStyle w:val="apple-converted-space"/>
          <w:rFonts w:eastAsia="Batang"/>
          <w:color w:val="000000"/>
        </w:rPr>
        <w:t> </w:t>
      </w:r>
      <w:r w:rsidRPr="00051D3D">
        <w:rPr>
          <w:color w:val="000000"/>
        </w:rPr>
        <w:t>40 (8):923-48.</w:t>
      </w:r>
    </w:p>
    <w:p w:rsidR="003674D8" w:rsidRPr="00051D3D" w:rsidRDefault="003674D8" w:rsidP="003674D8">
      <w:pPr>
        <w:pStyle w:val="NormalWeb"/>
        <w:ind w:left="450" w:hanging="450"/>
        <w:rPr>
          <w:color w:val="000000"/>
        </w:rPr>
      </w:pPr>
      <w:r w:rsidRPr="00051D3D">
        <w:rPr>
          <w:color w:val="000000"/>
        </w:rPr>
        <w:t>Nam,</w:t>
      </w:r>
      <w:r>
        <w:rPr>
          <w:color w:val="000000"/>
        </w:rPr>
        <w:t xml:space="preserve"> </w:t>
      </w:r>
      <w:proofErr w:type="spellStart"/>
      <w:r w:rsidRPr="00051D3D">
        <w:rPr>
          <w:color w:val="000000"/>
        </w:rPr>
        <w:t>Taehyun</w:t>
      </w:r>
      <w:proofErr w:type="spellEnd"/>
      <w:r w:rsidRPr="00051D3D">
        <w:rPr>
          <w:color w:val="000000"/>
        </w:rPr>
        <w:t>. 2007. "</w:t>
      </w:r>
      <w:r w:rsidRPr="00051D3D">
        <w:rPr>
          <w:bCs/>
          <w:color w:val="000000"/>
        </w:rPr>
        <w:t>Rough Days in Democracies: Comparing Protests in Democracies</w:t>
      </w:r>
      <w:r w:rsidRPr="00051D3D">
        <w:rPr>
          <w:color w:val="000000"/>
        </w:rPr>
        <w:t>."</w:t>
      </w:r>
      <w:r w:rsidRPr="00051D3D">
        <w:rPr>
          <w:rStyle w:val="apple-converted-space"/>
          <w:rFonts w:eastAsia="Batang"/>
          <w:color w:val="000000"/>
        </w:rPr>
        <w:t> </w:t>
      </w:r>
      <w:r w:rsidRPr="00051D3D">
        <w:rPr>
          <w:i/>
          <w:iCs/>
          <w:color w:val="000000"/>
        </w:rPr>
        <w:t>European Journal of Political Research</w:t>
      </w:r>
      <w:r w:rsidRPr="00051D3D">
        <w:rPr>
          <w:rStyle w:val="apple-converted-space"/>
          <w:rFonts w:eastAsia="Batang"/>
          <w:color w:val="000000"/>
        </w:rPr>
        <w:t> </w:t>
      </w:r>
      <w:r w:rsidRPr="00051D3D">
        <w:rPr>
          <w:color w:val="000000"/>
        </w:rPr>
        <w:t>46 (1):97-120.</w:t>
      </w:r>
    </w:p>
    <w:p w:rsidR="003674D8" w:rsidRPr="00051D3D" w:rsidRDefault="003674D8" w:rsidP="003674D8">
      <w:pPr>
        <w:pStyle w:val="NormalWeb"/>
        <w:ind w:left="450" w:hanging="450"/>
        <w:rPr>
          <w:color w:val="000000"/>
        </w:rPr>
      </w:pPr>
      <w:r w:rsidRPr="00051D3D">
        <w:rPr>
          <w:color w:val="000000"/>
        </w:rPr>
        <w:t>O'Donnell,</w:t>
      </w:r>
      <w:r>
        <w:rPr>
          <w:color w:val="000000"/>
        </w:rPr>
        <w:t xml:space="preserve"> </w:t>
      </w:r>
      <w:r w:rsidRPr="00051D3D">
        <w:rPr>
          <w:color w:val="000000"/>
        </w:rPr>
        <w:t xml:space="preserve">Guillermo A. 1994. </w:t>
      </w:r>
      <w:proofErr w:type="gramStart"/>
      <w:r w:rsidRPr="00051D3D">
        <w:rPr>
          <w:color w:val="000000"/>
        </w:rPr>
        <w:t>"</w:t>
      </w:r>
      <w:proofErr w:type="spellStart"/>
      <w:r w:rsidRPr="00051D3D">
        <w:rPr>
          <w:color w:val="000000"/>
        </w:rPr>
        <w:t>Delegative</w:t>
      </w:r>
      <w:proofErr w:type="spellEnd"/>
      <w:r w:rsidRPr="00051D3D">
        <w:rPr>
          <w:color w:val="000000"/>
        </w:rPr>
        <w:t xml:space="preserve"> Democracy."</w:t>
      </w:r>
      <w:proofErr w:type="gramEnd"/>
      <w:r w:rsidRPr="00051D3D">
        <w:rPr>
          <w:rStyle w:val="apple-converted-space"/>
          <w:rFonts w:eastAsia="Batang"/>
          <w:color w:val="000000"/>
        </w:rPr>
        <w:t> </w:t>
      </w:r>
      <w:r w:rsidRPr="00051D3D">
        <w:rPr>
          <w:i/>
          <w:iCs/>
          <w:color w:val="000000"/>
        </w:rPr>
        <w:t>Journal of Democracy</w:t>
      </w:r>
      <w:r w:rsidRPr="00051D3D">
        <w:rPr>
          <w:rStyle w:val="apple-converted-space"/>
          <w:rFonts w:eastAsia="Batang"/>
          <w:color w:val="000000"/>
        </w:rPr>
        <w:t> </w:t>
      </w:r>
      <w:r w:rsidRPr="00051D3D">
        <w:rPr>
          <w:color w:val="000000"/>
        </w:rPr>
        <w:t>5 (1):55-69.</w:t>
      </w:r>
    </w:p>
    <w:p w:rsidR="003674D8" w:rsidRDefault="003674D8" w:rsidP="003674D8">
      <w:pPr>
        <w:pStyle w:val="NormalWeb"/>
        <w:ind w:left="450" w:hanging="450"/>
        <w:rPr>
          <w:color w:val="000000"/>
        </w:rPr>
      </w:pPr>
      <w:r w:rsidRPr="00A6634B">
        <w:rPr>
          <w:color w:val="000000"/>
        </w:rPr>
        <w:t>Powell, G. Bingham. 2004.  "The Chain of Responsiveness." Journal of Democracy 15</w:t>
      </w:r>
      <w:r>
        <w:rPr>
          <w:color w:val="000000"/>
        </w:rPr>
        <w:t xml:space="preserve"> (4)</w:t>
      </w:r>
      <w:r w:rsidRPr="00A6634B">
        <w:rPr>
          <w:color w:val="000000"/>
        </w:rPr>
        <w:t xml:space="preserve">:91-105. </w:t>
      </w:r>
    </w:p>
    <w:p w:rsidR="003674D8" w:rsidRPr="00051D3D" w:rsidRDefault="003674D8" w:rsidP="003674D8">
      <w:pPr>
        <w:pStyle w:val="NormalWeb"/>
        <w:ind w:left="450" w:hanging="450"/>
        <w:rPr>
          <w:color w:val="000000"/>
        </w:rPr>
      </w:pPr>
      <w:proofErr w:type="spellStart"/>
      <w:r w:rsidRPr="00051D3D">
        <w:rPr>
          <w:color w:val="000000"/>
        </w:rPr>
        <w:t>Przeworski</w:t>
      </w:r>
      <w:proofErr w:type="spellEnd"/>
      <w:r w:rsidRPr="00051D3D">
        <w:rPr>
          <w:color w:val="000000"/>
        </w:rPr>
        <w:t>, Adam. 1991.</w:t>
      </w:r>
      <w:r w:rsidRPr="00051D3D">
        <w:rPr>
          <w:rStyle w:val="apple-converted-space"/>
          <w:rFonts w:eastAsia="Batang"/>
          <w:color w:val="000000"/>
        </w:rPr>
        <w:t> </w:t>
      </w:r>
      <w:r>
        <w:rPr>
          <w:i/>
          <w:iCs/>
          <w:color w:val="000000"/>
        </w:rPr>
        <w:t>Democracy and the Market: Political and Economic R</w:t>
      </w:r>
      <w:r w:rsidRPr="00051D3D">
        <w:rPr>
          <w:i/>
          <w:iCs/>
          <w:color w:val="000000"/>
        </w:rPr>
        <w:t>eforms in Eastern Europe and Latin America</w:t>
      </w:r>
      <w:r w:rsidRPr="00051D3D">
        <w:rPr>
          <w:color w:val="000000"/>
        </w:rPr>
        <w:t>. Cambridge: Cambridge University Press.</w:t>
      </w:r>
    </w:p>
    <w:p w:rsidR="003674D8" w:rsidRPr="00051D3D" w:rsidRDefault="003674D8" w:rsidP="003674D8">
      <w:pPr>
        <w:pStyle w:val="NormalWeb"/>
        <w:ind w:left="450" w:hanging="450"/>
        <w:rPr>
          <w:color w:val="000000"/>
        </w:rPr>
      </w:pPr>
      <w:proofErr w:type="spellStart"/>
      <w:r w:rsidRPr="00051D3D">
        <w:rPr>
          <w:color w:val="000000"/>
        </w:rPr>
        <w:lastRenderedPageBreak/>
        <w:t>Puddington</w:t>
      </w:r>
      <w:proofErr w:type="spellEnd"/>
      <w:r w:rsidRPr="00051D3D">
        <w:rPr>
          <w:color w:val="000000"/>
        </w:rPr>
        <w:t>, Arch. 2012.</w:t>
      </w:r>
      <w:r w:rsidRPr="00051D3D">
        <w:rPr>
          <w:rStyle w:val="apple-converted-space"/>
          <w:rFonts w:eastAsia="Batang"/>
          <w:color w:val="000000"/>
        </w:rPr>
        <w:t> </w:t>
      </w:r>
      <w:r>
        <w:rPr>
          <w:i/>
          <w:iCs/>
          <w:color w:val="000000"/>
        </w:rPr>
        <w:t>Freedom in the World 2012: The Arab Uprisings and their Global R</w:t>
      </w:r>
      <w:r w:rsidRPr="00051D3D">
        <w:rPr>
          <w:i/>
          <w:iCs/>
          <w:color w:val="000000"/>
        </w:rPr>
        <w:t>epercussions.</w:t>
      </w:r>
      <w:r w:rsidRPr="00051D3D">
        <w:rPr>
          <w:rStyle w:val="apple-converted-space"/>
          <w:rFonts w:eastAsia="Batang"/>
          <w:i/>
          <w:iCs/>
          <w:color w:val="000000"/>
        </w:rPr>
        <w:t> </w:t>
      </w:r>
      <w:r w:rsidRPr="00051D3D">
        <w:rPr>
          <w:color w:val="000000"/>
        </w:rPr>
        <w:t xml:space="preserve">Washington, D.C.: Freedom </w:t>
      </w:r>
      <w:r>
        <w:rPr>
          <w:color w:val="000000"/>
        </w:rPr>
        <w:t xml:space="preserve">House. </w:t>
      </w:r>
      <w:proofErr w:type="gramStart"/>
      <w:r>
        <w:rPr>
          <w:color w:val="000000"/>
        </w:rPr>
        <w:t xml:space="preserve">Retrieved from </w:t>
      </w:r>
      <w:r w:rsidRPr="00143EFD">
        <w:rPr>
          <w:color w:val="000000"/>
        </w:rPr>
        <w:t>http://www.freedomhouse.org/article/freedom-world-2012-arab-uprisings-and-their-global-repercussions</w:t>
      </w:r>
      <w:r w:rsidRPr="00051D3D">
        <w:rPr>
          <w:color w:val="000000"/>
        </w:rPr>
        <w:t>.</w:t>
      </w:r>
      <w:proofErr w:type="gramEnd"/>
    </w:p>
    <w:p w:rsidR="003674D8" w:rsidRPr="00C841F3" w:rsidRDefault="003674D8" w:rsidP="003674D8">
      <w:pPr>
        <w:pStyle w:val="NormalWeb"/>
        <w:ind w:left="450" w:hanging="450"/>
        <w:rPr>
          <w:color w:val="000000"/>
        </w:rPr>
      </w:pPr>
      <w:r>
        <w:rPr>
          <w:color w:val="000000"/>
        </w:rPr>
        <w:t xml:space="preserve">Rice, Roberta. 2012. </w:t>
      </w:r>
      <w:r>
        <w:rPr>
          <w:i/>
          <w:color w:val="000000"/>
        </w:rPr>
        <w:t>The New Politics of Protest: Indigenous Mobilization in Latin America’s Neoliberal Era</w:t>
      </w:r>
      <w:r>
        <w:rPr>
          <w:color w:val="000000"/>
        </w:rPr>
        <w:t>. Tucson: The University of Arizona Press.</w:t>
      </w:r>
    </w:p>
    <w:p w:rsidR="003674D8" w:rsidRPr="00051D3D" w:rsidRDefault="003674D8" w:rsidP="003674D8">
      <w:pPr>
        <w:pStyle w:val="NormalWeb"/>
        <w:ind w:left="450" w:hanging="450"/>
        <w:rPr>
          <w:color w:val="000000"/>
        </w:rPr>
      </w:pPr>
      <w:proofErr w:type="gramStart"/>
      <w:r w:rsidRPr="00051D3D">
        <w:rPr>
          <w:color w:val="000000"/>
        </w:rPr>
        <w:t>Ríos-Figueroa</w:t>
      </w:r>
      <w:r>
        <w:rPr>
          <w:color w:val="000000"/>
        </w:rPr>
        <w:t xml:space="preserve">, </w:t>
      </w:r>
      <w:r w:rsidRPr="00051D3D">
        <w:rPr>
          <w:color w:val="000000"/>
        </w:rPr>
        <w:t xml:space="preserve">Julio and Jeffrey K. </w:t>
      </w:r>
      <w:proofErr w:type="spellStart"/>
      <w:r w:rsidRPr="00051D3D">
        <w:rPr>
          <w:color w:val="000000"/>
        </w:rPr>
        <w:t>Staton</w:t>
      </w:r>
      <w:proofErr w:type="spellEnd"/>
      <w:r w:rsidRPr="00051D3D">
        <w:rPr>
          <w:color w:val="000000"/>
        </w:rPr>
        <w:t>, "An Evaluation of Cross-National Measures of Judicial Independence"</w:t>
      </w:r>
      <w:r>
        <w:rPr>
          <w:color w:val="000000"/>
        </w:rPr>
        <w:t>.</w:t>
      </w:r>
      <w:proofErr w:type="gramEnd"/>
      <w:r>
        <w:rPr>
          <w:color w:val="000000"/>
        </w:rPr>
        <w:t xml:space="preserve"> </w:t>
      </w:r>
      <w:proofErr w:type="gramStart"/>
      <w:r>
        <w:rPr>
          <w:color w:val="000000"/>
        </w:rPr>
        <w:t xml:space="preserve">Retrieved from </w:t>
      </w:r>
      <w:hyperlink r:id="rId12" w:history="1">
        <w:r>
          <w:rPr>
            <w:rStyle w:val="Hyperlink"/>
          </w:rPr>
          <w:t>http://userwww.service.emory.edu/~jkstato/papers/RiosStaton.pdf</w:t>
        </w:r>
      </w:hyperlink>
      <w:r w:rsidRPr="00051D3D">
        <w:rPr>
          <w:color w:val="000000"/>
        </w:rPr>
        <w:t>.</w:t>
      </w:r>
      <w:proofErr w:type="gramEnd"/>
    </w:p>
    <w:p w:rsidR="003674D8" w:rsidRPr="00051D3D" w:rsidRDefault="003674D8" w:rsidP="003674D8">
      <w:pPr>
        <w:pStyle w:val="NormalWeb"/>
        <w:ind w:left="450" w:hanging="450"/>
        <w:rPr>
          <w:color w:val="000000"/>
        </w:rPr>
      </w:pPr>
      <w:r w:rsidRPr="00051D3D">
        <w:rPr>
          <w:color w:val="000000"/>
        </w:rPr>
        <w:t>Ross, Michael L. 2012.</w:t>
      </w:r>
      <w:r w:rsidRPr="00051D3D">
        <w:rPr>
          <w:rStyle w:val="apple-converted-space"/>
          <w:rFonts w:eastAsia="Batang"/>
          <w:color w:val="000000"/>
        </w:rPr>
        <w:t> </w:t>
      </w:r>
      <w:r>
        <w:rPr>
          <w:i/>
          <w:iCs/>
          <w:color w:val="000000"/>
        </w:rPr>
        <w:t>The Oil Curse: How Petroleum Wealth Shapes the Development of N</w:t>
      </w:r>
      <w:r w:rsidRPr="00051D3D">
        <w:rPr>
          <w:i/>
          <w:iCs/>
          <w:color w:val="000000"/>
        </w:rPr>
        <w:t>ations</w:t>
      </w:r>
      <w:r w:rsidRPr="00051D3D">
        <w:rPr>
          <w:color w:val="000000"/>
        </w:rPr>
        <w:t>. Princeton: Princeton University Press.</w:t>
      </w:r>
    </w:p>
    <w:p w:rsidR="003674D8" w:rsidRDefault="003674D8" w:rsidP="003674D8">
      <w:pPr>
        <w:pStyle w:val="NormalWeb"/>
        <w:ind w:left="446" w:hanging="446"/>
        <w:rPr>
          <w:color w:val="000000"/>
        </w:rPr>
      </w:pPr>
      <w:r w:rsidRPr="00CE652F">
        <w:rPr>
          <w:color w:val="000000"/>
        </w:rPr>
        <w:t>R</w:t>
      </w:r>
      <w:r>
        <w:rPr>
          <w:color w:val="000000"/>
        </w:rPr>
        <w:t>ussell, Peter. 2001. “Toward a General Theory of Judicial I</w:t>
      </w:r>
      <w:r w:rsidRPr="00CE652F">
        <w:rPr>
          <w:color w:val="000000"/>
        </w:rPr>
        <w:t xml:space="preserve">ndependence.” In </w:t>
      </w:r>
      <w:r w:rsidRPr="00CE652F">
        <w:rPr>
          <w:i/>
          <w:color w:val="000000"/>
        </w:rPr>
        <w:t xml:space="preserve">Judicial </w:t>
      </w:r>
      <w:r>
        <w:rPr>
          <w:i/>
          <w:color w:val="000000"/>
        </w:rPr>
        <w:t>Independence in the Age of D</w:t>
      </w:r>
      <w:r w:rsidRPr="00CE652F">
        <w:rPr>
          <w:i/>
          <w:color w:val="000000"/>
        </w:rPr>
        <w:t>emocracy: C</w:t>
      </w:r>
      <w:r>
        <w:rPr>
          <w:i/>
          <w:color w:val="000000"/>
        </w:rPr>
        <w:t>ritical Perspectives from Around the W</w:t>
      </w:r>
      <w:r w:rsidRPr="00CE652F">
        <w:rPr>
          <w:i/>
          <w:color w:val="000000"/>
        </w:rPr>
        <w:t>orld</w:t>
      </w:r>
      <w:r w:rsidRPr="00CE652F">
        <w:rPr>
          <w:color w:val="000000"/>
        </w:rPr>
        <w:t xml:space="preserve">, </w:t>
      </w:r>
      <w:r>
        <w:rPr>
          <w:color w:val="000000"/>
        </w:rPr>
        <w:t xml:space="preserve">eds. Peter H. Russell and David M. O'Brien. </w:t>
      </w:r>
      <w:r w:rsidRPr="00CE652F">
        <w:rPr>
          <w:color w:val="000000"/>
        </w:rPr>
        <w:t>Charlottesville: Univ</w:t>
      </w:r>
      <w:r>
        <w:rPr>
          <w:color w:val="000000"/>
        </w:rPr>
        <w:t>ersity of Virginia Press</w:t>
      </w:r>
      <w:r w:rsidRPr="00CE652F">
        <w:rPr>
          <w:color w:val="000000"/>
        </w:rPr>
        <w:t>, p. 1–24.</w:t>
      </w:r>
    </w:p>
    <w:p w:rsidR="003674D8" w:rsidRPr="00051D3D" w:rsidRDefault="003674D8" w:rsidP="003674D8">
      <w:pPr>
        <w:pStyle w:val="NormalWeb"/>
        <w:ind w:left="450" w:hanging="450"/>
        <w:rPr>
          <w:color w:val="000000"/>
        </w:rPr>
      </w:pPr>
      <w:proofErr w:type="spellStart"/>
      <w:r w:rsidRPr="00051D3D">
        <w:rPr>
          <w:color w:val="000000"/>
        </w:rPr>
        <w:t>Schatzman</w:t>
      </w:r>
      <w:proofErr w:type="spellEnd"/>
      <w:r w:rsidRPr="00051D3D">
        <w:rPr>
          <w:color w:val="000000"/>
        </w:rPr>
        <w:t>,</w:t>
      </w:r>
      <w:r>
        <w:rPr>
          <w:color w:val="000000"/>
        </w:rPr>
        <w:t xml:space="preserve"> </w:t>
      </w:r>
      <w:r w:rsidRPr="00051D3D">
        <w:rPr>
          <w:color w:val="000000"/>
        </w:rPr>
        <w:t>Christina. 2005. "Political Challenge in Latin America: Rebellion and Collective Protest in an Era of Democratization."</w:t>
      </w:r>
      <w:r w:rsidRPr="00051D3D">
        <w:rPr>
          <w:rStyle w:val="apple-converted-space"/>
          <w:rFonts w:eastAsia="Batang"/>
          <w:color w:val="000000"/>
        </w:rPr>
        <w:t> </w:t>
      </w:r>
      <w:r w:rsidRPr="00051D3D">
        <w:rPr>
          <w:i/>
          <w:iCs/>
          <w:color w:val="000000"/>
        </w:rPr>
        <w:t>Journal of Peace Research</w:t>
      </w:r>
      <w:r w:rsidRPr="00051D3D">
        <w:rPr>
          <w:rStyle w:val="apple-converted-space"/>
          <w:rFonts w:eastAsia="Batang"/>
          <w:color w:val="000000"/>
        </w:rPr>
        <w:t> </w:t>
      </w:r>
      <w:r w:rsidRPr="00051D3D">
        <w:rPr>
          <w:color w:val="000000"/>
        </w:rPr>
        <w:t>42 (3):291-310.</w:t>
      </w:r>
    </w:p>
    <w:p w:rsidR="003674D8" w:rsidRPr="00C54F1C" w:rsidRDefault="003674D8" w:rsidP="003674D8">
      <w:pPr>
        <w:pStyle w:val="NormalWeb"/>
        <w:ind w:left="450" w:hanging="450"/>
        <w:rPr>
          <w:color w:val="000000"/>
        </w:rPr>
      </w:pPr>
      <w:proofErr w:type="spellStart"/>
      <w:r w:rsidRPr="00051D3D">
        <w:rPr>
          <w:color w:val="000000"/>
        </w:rPr>
        <w:t>Solt</w:t>
      </w:r>
      <w:proofErr w:type="spellEnd"/>
      <w:r w:rsidRPr="00051D3D">
        <w:rPr>
          <w:color w:val="000000"/>
        </w:rPr>
        <w:t>,</w:t>
      </w:r>
      <w:r>
        <w:rPr>
          <w:color w:val="000000"/>
        </w:rPr>
        <w:t xml:space="preserve"> Frederick. 2008</w:t>
      </w:r>
      <w:r w:rsidRPr="00051D3D">
        <w:rPr>
          <w:color w:val="000000"/>
        </w:rPr>
        <w:t>.</w:t>
      </w:r>
      <w:r>
        <w:rPr>
          <w:color w:val="000000"/>
        </w:rPr>
        <w:t xml:space="preserve"> “Economic Inequality and Democratic Political Engagement.” </w:t>
      </w:r>
      <w:r>
        <w:rPr>
          <w:i/>
          <w:color w:val="000000"/>
        </w:rPr>
        <w:t>American Journal of Political Science</w:t>
      </w:r>
      <w:r>
        <w:rPr>
          <w:color w:val="000000"/>
        </w:rPr>
        <w:t xml:space="preserve"> 52 (1): 48-60.</w:t>
      </w:r>
    </w:p>
    <w:p w:rsidR="003674D8" w:rsidRDefault="003674D8" w:rsidP="003674D8">
      <w:pPr>
        <w:pStyle w:val="NormalWeb"/>
        <w:ind w:left="450" w:hanging="450"/>
        <w:rPr>
          <w:color w:val="000000"/>
        </w:rPr>
      </w:pPr>
      <w:proofErr w:type="spellStart"/>
      <w:r w:rsidRPr="00051D3D">
        <w:rPr>
          <w:color w:val="000000"/>
        </w:rPr>
        <w:t>Solt</w:t>
      </w:r>
      <w:proofErr w:type="spellEnd"/>
      <w:r w:rsidRPr="00051D3D">
        <w:rPr>
          <w:color w:val="000000"/>
        </w:rPr>
        <w:t>,</w:t>
      </w:r>
      <w:r>
        <w:rPr>
          <w:color w:val="000000"/>
        </w:rPr>
        <w:t xml:space="preserve"> </w:t>
      </w:r>
      <w:r w:rsidRPr="00051D3D">
        <w:rPr>
          <w:color w:val="000000"/>
        </w:rPr>
        <w:t>Frederick. 2009. "Standardizing the World Income Inequality Database."</w:t>
      </w:r>
      <w:r w:rsidRPr="00051D3D">
        <w:rPr>
          <w:rStyle w:val="apple-converted-space"/>
          <w:rFonts w:eastAsia="Batang"/>
          <w:color w:val="000000"/>
        </w:rPr>
        <w:t> </w:t>
      </w:r>
      <w:r w:rsidRPr="00051D3D">
        <w:rPr>
          <w:i/>
          <w:iCs/>
          <w:color w:val="000000"/>
        </w:rPr>
        <w:t>Social Science Quarterly</w:t>
      </w:r>
      <w:r w:rsidRPr="00051D3D">
        <w:rPr>
          <w:rStyle w:val="apple-converted-space"/>
          <w:rFonts w:eastAsia="Batang"/>
          <w:color w:val="000000"/>
        </w:rPr>
        <w:t> </w:t>
      </w:r>
      <w:r w:rsidRPr="00051D3D">
        <w:rPr>
          <w:color w:val="000000"/>
        </w:rPr>
        <w:t>90 (2):231-42.</w:t>
      </w:r>
    </w:p>
    <w:p w:rsidR="00654654" w:rsidRPr="00654654" w:rsidRDefault="00AF00F6" w:rsidP="003674D8">
      <w:pPr>
        <w:pStyle w:val="NormalWeb"/>
        <w:ind w:left="450" w:hanging="450"/>
        <w:rPr>
          <w:color w:val="000000"/>
        </w:rPr>
      </w:pPr>
      <w:proofErr w:type="spellStart"/>
      <w:r w:rsidRPr="00AF00F6">
        <w:rPr>
          <w:color w:val="000000"/>
        </w:rPr>
        <w:t>Svolik</w:t>
      </w:r>
      <w:proofErr w:type="spellEnd"/>
      <w:r w:rsidRPr="00AF00F6">
        <w:rPr>
          <w:color w:val="000000"/>
        </w:rPr>
        <w:t xml:space="preserve">, Milan W. 2014. "Which Democracies Will Last? </w:t>
      </w:r>
      <w:proofErr w:type="gramStart"/>
      <w:r w:rsidRPr="00AF00F6">
        <w:rPr>
          <w:color w:val="000000"/>
        </w:rPr>
        <w:t>Coups, Incumbent Takeovers, and the Dynamic of Democratic Consolidation."</w:t>
      </w:r>
      <w:proofErr w:type="gramEnd"/>
      <w:r w:rsidRPr="00AF00F6">
        <w:rPr>
          <w:rStyle w:val="apple-converted-space"/>
          <w:color w:val="000000"/>
        </w:rPr>
        <w:t> </w:t>
      </w:r>
      <w:r w:rsidRPr="00AF00F6">
        <w:rPr>
          <w:i/>
          <w:iCs/>
          <w:color w:val="000000"/>
        </w:rPr>
        <w:t>British Journal of Political Science</w:t>
      </w:r>
      <w:r w:rsidRPr="00AF00F6">
        <w:rPr>
          <w:rStyle w:val="apple-converted-space"/>
          <w:color w:val="000000"/>
        </w:rPr>
        <w:t> </w:t>
      </w:r>
      <w:proofErr w:type="spellStart"/>
      <w:r w:rsidRPr="00AF00F6">
        <w:rPr>
          <w:color w:val="000000"/>
        </w:rPr>
        <w:t>doi</w:t>
      </w:r>
      <w:proofErr w:type="spellEnd"/>
      <w:r w:rsidRPr="00AF00F6">
        <w:rPr>
          <w:color w:val="000000"/>
        </w:rPr>
        <w:t>:</w:t>
      </w:r>
      <w:r w:rsidR="0072161A">
        <w:rPr>
          <w:color w:val="000000"/>
        </w:rPr>
        <w:t xml:space="preserve"> </w:t>
      </w:r>
      <w:r w:rsidRPr="00AF00F6">
        <w:rPr>
          <w:color w:val="000000"/>
        </w:rPr>
        <w:t>10.1017/S0007123413000550 (26 March 2014).</w:t>
      </w:r>
    </w:p>
    <w:p w:rsidR="0044338D" w:rsidRPr="0044338D" w:rsidRDefault="0044338D" w:rsidP="0044338D">
      <w:pPr>
        <w:pStyle w:val="NormalWeb"/>
        <w:ind w:left="450" w:hanging="450"/>
        <w:rPr>
          <w:color w:val="000000"/>
        </w:rPr>
      </w:pPr>
      <w:proofErr w:type="gramStart"/>
      <w:r w:rsidRPr="0044338D">
        <w:rPr>
          <w:color w:val="000000"/>
        </w:rPr>
        <w:t>Stephan</w:t>
      </w:r>
      <w:r>
        <w:rPr>
          <w:color w:val="000000"/>
        </w:rPr>
        <w:t xml:space="preserve">, </w:t>
      </w:r>
      <w:r w:rsidRPr="0044338D">
        <w:rPr>
          <w:color w:val="000000"/>
        </w:rPr>
        <w:t>Maria J.</w:t>
      </w:r>
      <w:r>
        <w:rPr>
          <w:color w:val="000000"/>
        </w:rPr>
        <w:t>,</w:t>
      </w:r>
      <w:r w:rsidR="0072161A">
        <w:rPr>
          <w:color w:val="000000"/>
        </w:rPr>
        <w:t xml:space="preserve"> </w:t>
      </w:r>
      <w:r w:rsidRPr="0044338D">
        <w:rPr>
          <w:color w:val="000000"/>
        </w:rPr>
        <w:t xml:space="preserve">and </w:t>
      </w:r>
      <w:r>
        <w:rPr>
          <w:color w:val="000000"/>
        </w:rPr>
        <w:t xml:space="preserve">Erica </w:t>
      </w:r>
      <w:r w:rsidRPr="0044338D">
        <w:rPr>
          <w:color w:val="000000"/>
        </w:rPr>
        <w:t>Chenoweth</w:t>
      </w:r>
      <w:r>
        <w:rPr>
          <w:color w:val="000000"/>
        </w:rPr>
        <w:t>.</w:t>
      </w:r>
      <w:proofErr w:type="gramEnd"/>
      <w:r>
        <w:rPr>
          <w:color w:val="000000"/>
        </w:rPr>
        <w:t xml:space="preserve"> 2008. “Why Civil Resistance Works: The Strategic Logic of Nonviolent Conflict.” </w:t>
      </w:r>
      <w:r>
        <w:rPr>
          <w:i/>
          <w:color w:val="000000"/>
        </w:rPr>
        <w:t>International Security</w:t>
      </w:r>
      <w:r>
        <w:rPr>
          <w:color w:val="000000"/>
        </w:rPr>
        <w:t xml:space="preserve"> 33 (1): 7-44. </w:t>
      </w:r>
    </w:p>
    <w:p w:rsidR="003674D8" w:rsidRPr="00051D3D" w:rsidRDefault="003674D8" w:rsidP="003674D8">
      <w:pPr>
        <w:pStyle w:val="NormalWeb"/>
        <w:ind w:left="450" w:hanging="450"/>
        <w:rPr>
          <w:color w:val="000000"/>
        </w:rPr>
      </w:pPr>
      <w:proofErr w:type="spellStart"/>
      <w:r w:rsidRPr="00051D3D">
        <w:rPr>
          <w:color w:val="000000"/>
        </w:rPr>
        <w:t>Tarrow</w:t>
      </w:r>
      <w:proofErr w:type="spellEnd"/>
      <w:r w:rsidRPr="00051D3D">
        <w:rPr>
          <w:color w:val="000000"/>
        </w:rPr>
        <w:t>, Sidney. 1994.</w:t>
      </w:r>
      <w:r w:rsidRPr="00051D3D">
        <w:rPr>
          <w:rStyle w:val="apple-converted-space"/>
          <w:rFonts w:eastAsia="Batang"/>
          <w:color w:val="000000"/>
        </w:rPr>
        <w:t> </w:t>
      </w:r>
      <w:r w:rsidRPr="00051D3D">
        <w:rPr>
          <w:i/>
          <w:iCs/>
          <w:color w:val="000000"/>
        </w:rPr>
        <w:t>Power in movement: Social movements, collective action, and politics</w:t>
      </w:r>
      <w:r w:rsidRPr="00051D3D">
        <w:rPr>
          <w:color w:val="000000"/>
        </w:rPr>
        <w:t>. New York: Cambridge University Press.</w:t>
      </w:r>
    </w:p>
    <w:p w:rsidR="003674D8" w:rsidRPr="00051D3D" w:rsidRDefault="003674D8" w:rsidP="003674D8">
      <w:pPr>
        <w:pStyle w:val="NormalWeb"/>
        <w:ind w:left="450" w:hanging="450"/>
        <w:rPr>
          <w:color w:val="000000"/>
        </w:rPr>
      </w:pPr>
      <w:r w:rsidRPr="00051D3D">
        <w:rPr>
          <w:color w:val="000000"/>
        </w:rPr>
        <w:t>———1998.</w:t>
      </w:r>
      <w:r w:rsidRPr="00051D3D">
        <w:rPr>
          <w:rStyle w:val="apple-converted-space"/>
          <w:rFonts w:eastAsia="Batang"/>
          <w:color w:val="000000"/>
        </w:rPr>
        <w:t> </w:t>
      </w:r>
      <w:r>
        <w:rPr>
          <w:i/>
          <w:iCs/>
          <w:color w:val="000000"/>
        </w:rPr>
        <w:t>Power in Movement: Social Movements and Contentious P</w:t>
      </w:r>
      <w:r w:rsidRPr="00051D3D">
        <w:rPr>
          <w:i/>
          <w:iCs/>
          <w:color w:val="000000"/>
        </w:rPr>
        <w:t>olitics</w:t>
      </w:r>
      <w:r w:rsidRPr="00051D3D">
        <w:rPr>
          <w:color w:val="000000"/>
        </w:rPr>
        <w:t>. 2nd ed. Cambridge: Cambridge University Press.</w:t>
      </w:r>
    </w:p>
    <w:p w:rsidR="003674D8" w:rsidRPr="00051D3D" w:rsidRDefault="003674D8" w:rsidP="003674D8">
      <w:pPr>
        <w:pStyle w:val="NormalWeb"/>
        <w:ind w:left="450" w:hanging="450"/>
        <w:rPr>
          <w:color w:val="000000"/>
        </w:rPr>
      </w:pPr>
      <w:r w:rsidRPr="00051D3D">
        <w:rPr>
          <w:color w:val="000000"/>
        </w:rPr>
        <w:t>Tilly, Charles. 1978.</w:t>
      </w:r>
      <w:r w:rsidRPr="00051D3D">
        <w:rPr>
          <w:rStyle w:val="apple-converted-space"/>
          <w:rFonts w:eastAsia="Batang"/>
          <w:color w:val="000000"/>
        </w:rPr>
        <w:t> </w:t>
      </w:r>
      <w:proofErr w:type="gramStart"/>
      <w:r>
        <w:rPr>
          <w:i/>
          <w:iCs/>
          <w:color w:val="000000"/>
        </w:rPr>
        <w:t>From</w:t>
      </w:r>
      <w:proofErr w:type="gramEnd"/>
      <w:r>
        <w:rPr>
          <w:i/>
          <w:iCs/>
          <w:color w:val="000000"/>
        </w:rPr>
        <w:t xml:space="preserve"> Mobilization to R</w:t>
      </w:r>
      <w:r w:rsidRPr="00051D3D">
        <w:rPr>
          <w:i/>
          <w:iCs/>
          <w:color w:val="000000"/>
        </w:rPr>
        <w:t>evolution</w:t>
      </w:r>
      <w:r w:rsidRPr="00051D3D">
        <w:rPr>
          <w:color w:val="000000"/>
        </w:rPr>
        <w:t xml:space="preserve">. Reading, Mass.: Addison-Wesley Pub. </w:t>
      </w:r>
      <w:proofErr w:type="gramStart"/>
      <w:r w:rsidRPr="00051D3D">
        <w:rPr>
          <w:color w:val="000000"/>
        </w:rPr>
        <w:t>Co.</w:t>
      </w:r>
      <w:proofErr w:type="gramEnd"/>
    </w:p>
    <w:p w:rsidR="003674D8" w:rsidRPr="00051D3D" w:rsidRDefault="003674D8" w:rsidP="003674D8">
      <w:pPr>
        <w:pStyle w:val="NormalWeb"/>
        <w:ind w:left="450" w:hanging="450"/>
        <w:rPr>
          <w:color w:val="000000"/>
        </w:rPr>
      </w:pPr>
      <w:r w:rsidRPr="00051D3D">
        <w:rPr>
          <w:color w:val="000000"/>
        </w:rPr>
        <w:t>———2007.</w:t>
      </w:r>
      <w:r w:rsidRPr="00051D3D">
        <w:rPr>
          <w:rStyle w:val="apple-converted-space"/>
          <w:rFonts w:eastAsia="Batang"/>
          <w:color w:val="000000"/>
        </w:rPr>
        <w:t> </w:t>
      </w:r>
      <w:proofErr w:type="gramStart"/>
      <w:r w:rsidRPr="00051D3D">
        <w:rPr>
          <w:i/>
          <w:iCs/>
          <w:color w:val="000000"/>
        </w:rPr>
        <w:t>Democracy</w:t>
      </w:r>
      <w:r w:rsidRPr="00051D3D">
        <w:rPr>
          <w:color w:val="000000"/>
        </w:rPr>
        <w:t>.</w:t>
      </w:r>
      <w:proofErr w:type="gramEnd"/>
      <w:r w:rsidRPr="00051D3D">
        <w:rPr>
          <w:color w:val="000000"/>
        </w:rPr>
        <w:t xml:space="preserve"> Cambridge: Cambridge University Press.</w:t>
      </w:r>
    </w:p>
    <w:p w:rsidR="00F43500" w:rsidRPr="00F43500" w:rsidRDefault="00AF00F6" w:rsidP="003674D8">
      <w:pPr>
        <w:pStyle w:val="NormalWeb"/>
        <w:ind w:left="450" w:hanging="450"/>
        <w:rPr>
          <w:color w:val="000000"/>
        </w:rPr>
      </w:pPr>
      <w:r w:rsidRPr="00AF00F6">
        <w:rPr>
          <w:color w:val="000000"/>
        </w:rPr>
        <w:lastRenderedPageBreak/>
        <w:t>Weldon, S. L. 2011.</w:t>
      </w:r>
      <w:r w:rsidRPr="00AF00F6">
        <w:rPr>
          <w:rStyle w:val="apple-converted-space"/>
          <w:color w:val="000000"/>
        </w:rPr>
        <w:t> </w:t>
      </w:r>
      <w:r w:rsidRPr="00AF00F6">
        <w:rPr>
          <w:i/>
          <w:iCs/>
          <w:color w:val="000000"/>
        </w:rPr>
        <w:t>When protest makes policy: How social movements represent disadvantaged groups</w:t>
      </w:r>
      <w:r w:rsidRPr="00AF00F6">
        <w:rPr>
          <w:color w:val="000000"/>
        </w:rPr>
        <w:t>. Ann Arbor: The University of Michigan Press.</w:t>
      </w:r>
    </w:p>
    <w:p w:rsidR="003674D8" w:rsidRPr="00764535" w:rsidRDefault="003674D8" w:rsidP="003674D8">
      <w:pPr>
        <w:pStyle w:val="NormalWeb"/>
        <w:ind w:left="450" w:hanging="450"/>
        <w:rPr>
          <w:color w:val="000000"/>
        </w:rPr>
      </w:pPr>
      <w:proofErr w:type="spellStart"/>
      <w:r w:rsidRPr="00764535">
        <w:rPr>
          <w:color w:val="000000"/>
        </w:rPr>
        <w:t>Waylen</w:t>
      </w:r>
      <w:proofErr w:type="spellEnd"/>
      <w:r>
        <w:rPr>
          <w:color w:val="000000"/>
        </w:rPr>
        <w:t>, Georgina. 2007. “</w:t>
      </w:r>
      <w:r w:rsidRPr="00764535">
        <w:rPr>
          <w:color w:val="000000"/>
        </w:rPr>
        <w:t>Women's Mobilization and Gender Outcomes in Transitions to</w:t>
      </w:r>
      <w:r>
        <w:rPr>
          <w:color w:val="000000"/>
        </w:rPr>
        <w:t xml:space="preserve"> Democracy</w:t>
      </w:r>
      <w:r w:rsidRPr="00764535">
        <w:rPr>
          <w:color w:val="000000"/>
        </w:rPr>
        <w:t>: The Case of South Africa</w:t>
      </w:r>
      <w:r>
        <w:rPr>
          <w:color w:val="000000"/>
        </w:rPr>
        <w:t xml:space="preserve">.” </w:t>
      </w:r>
      <w:r>
        <w:rPr>
          <w:i/>
          <w:color w:val="000000"/>
        </w:rPr>
        <w:t>Comparative Political Studies</w:t>
      </w:r>
      <w:r>
        <w:rPr>
          <w:color w:val="000000"/>
        </w:rPr>
        <w:t xml:space="preserve"> </w:t>
      </w:r>
      <w:r w:rsidRPr="00764535">
        <w:rPr>
          <w:color w:val="000000"/>
        </w:rPr>
        <w:t>2007 40</w:t>
      </w:r>
      <w:r>
        <w:rPr>
          <w:color w:val="000000"/>
        </w:rPr>
        <w:t xml:space="preserve"> (5)</w:t>
      </w:r>
      <w:r w:rsidRPr="00764535">
        <w:rPr>
          <w:color w:val="000000"/>
        </w:rPr>
        <w:t>: 521</w:t>
      </w:r>
      <w:r>
        <w:rPr>
          <w:color w:val="000000"/>
        </w:rPr>
        <w:t>-546.</w:t>
      </w:r>
    </w:p>
    <w:p w:rsidR="0043232B" w:rsidRPr="0043232B" w:rsidRDefault="0043232B" w:rsidP="003674D8">
      <w:pPr>
        <w:pStyle w:val="NormalWeb"/>
        <w:ind w:left="450" w:hanging="450"/>
        <w:rPr>
          <w:color w:val="000000"/>
        </w:rPr>
      </w:pPr>
      <w:proofErr w:type="spellStart"/>
      <w:r>
        <w:rPr>
          <w:color w:val="000000"/>
        </w:rPr>
        <w:t>Welzel</w:t>
      </w:r>
      <w:proofErr w:type="spellEnd"/>
      <w:r>
        <w:rPr>
          <w:color w:val="000000"/>
        </w:rPr>
        <w:t xml:space="preserve">, Christian. 2013. </w:t>
      </w:r>
      <w:r>
        <w:rPr>
          <w:i/>
          <w:color w:val="000000"/>
        </w:rPr>
        <w:t>Freedom Rising: Human Empowerment and the Quest for Emancipation</w:t>
      </w:r>
      <w:r>
        <w:rPr>
          <w:color w:val="000000"/>
        </w:rPr>
        <w:t>. New York: Cambridge University Press.</w:t>
      </w:r>
    </w:p>
    <w:p w:rsidR="003674D8" w:rsidRPr="00051D3D" w:rsidRDefault="003674D8" w:rsidP="003674D8">
      <w:pPr>
        <w:pStyle w:val="NormalWeb"/>
        <w:ind w:left="450" w:hanging="450"/>
        <w:rPr>
          <w:color w:val="000000"/>
        </w:rPr>
      </w:pPr>
      <w:proofErr w:type="spellStart"/>
      <w:proofErr w:type="gramStart"/>
      <w:r w:rsidRPr="00051D3D">
        <w:rPr>
          <w:color w:val="000000"/>
        </w:rPr>
        <w:t>Wimmer</w:t>
      </w:r>
      <w:proofErr w:type="spellEnd"/>
      <w:r w:rsidRPr="00051D3D">
        <w:rPr>
          <w:color w:val="000000"/>
        </w:rPr>
        <w:t>, Andreas, L</w:t>
      </w:r>
      <w:r w:rsidR="0044338D">
        <w:rPr>
          <w:color w:val="000000"/>
        </w:rPr>
        <w:t xml:space="preserve">ars-Erik </w:t>
      </w:r>
      <w:proofErr w:type="spellStart"/>
      <w:r w:rsidR="0044338D">
        <w:rPr>
          <w:color w:val="000000"/>
        </w:rPr>
        <w:t>Cederman</w:t>
      </w:r>
      <w:proofErr w:type="spellEnd"/>
      <w:r w:rsidR="0044338D">
        <w:rPr>
          <w:color w:val="000000"/>
        </w:rPr>
        <w:t>, and Brian</w:t>
      </w:r>
      <w:r w:rsidRPr="00051D3D">
        <w:rPr>
          <w:color w:val="000000"/>
        </w:rPr>
        <w:t xml:space="preserve"> Min. 2009.</w:t>
      </w:r>
      <w:proofErr w:type="gramEnd"/>
      <w:r w:rsidRPr="00051D3D">
        <w:rPr>
          <w:rStyle w:val="apple-converted-space"/>
          <w:rFonts w:eastAsia="Batang"/>
          <w:color w:val="000000"/>
        </w:rPr>
        <w:t> </w:t>
      </w:r>
      <w:proofErr w:type="gramStart"/>
      <w:r w:rsidRPr="00051D3D">
        <w:rPr>
          <w:i/>
          <w:iCs/>
          <w:color w:val="000000"/>
        </w:rPr>
        <w:t xml:space="preserve">Ethnic Power Relations </w:t>
      </w:r>
      <w:proofErr w:type="spellStart"/>
      <w:r w:rsidRPr="00051D3D">
        <w:rPr>
          <w:i/>
          <w:iCs/>
          <w:color w:val="000000"/>
        </w:rPr>
        <w:t>Dataverse</w:t>
      </w:r>
      <w:proofErr w:type="spellEnd"/>
      <w:r w:rsidRPr="00051D3D">
        <w:rPr>
          <w:i/>
          <w:iCs/>
          <w:color w:val="000000"/>
        </w:rPr>
        <w:t>.</w:t>
      </w:r>
      <w:proofErr w:type="gramEnd"/>
      <w:r>
        <w:rPr>
          <w:i/>
          <w:iCs/>
          <w:color w:val="000000"/>
        </w:rPr>
        <w:t xml:space="preserve"> </w:t>
      </w:r>
      <w:proofErr w:type="gramStart"/>
      <w:r>
        <w:rPr>
          <w:iCs/>
          <w:color w:val="000000"/>
        </w:rPr>
        <w:t xml:space="preserve">Retrieved from </w:t>
      </w:r>
      <w:hyperlink r:id="rId13" w:tgtFrame="_blank" w:history="1">
        <w:r w:rsidRPr="00051D3D">
          <w:rPr>
            <w:rStyle w:val="Hyperlink"/>
          </w:rPr>
          <w:t>http://dvn.iq.harvard.edu/dvn/dv/epr</w:t>
        </w:r>
      </w:hyperlink>
      <w:r w:rsidRPr="00051D3D">
        <w:rPr>
          <w:color w:val="000000"/>
        </w:rPr>
        <w:t>.</w:t>
      </w:r>
      <w:proofErr w:type="gramEnd"/>
    </w:p>
    <w:p w:rsidR="003674D8" w:rsidRPr="00051D3D" w:rsidRDefault="003674D8" w:rsidP="003674D8">
      <w:pPr>
        <w:pStyle w:val="NormalWeb"/>
        <w:ind w:left="450" w:hanging="450"/>
        <w:rPr>
          <w:color w:val="000000"/>
        </w:rPr>
      </w:pPr>
      <w:proofErr w:type="spellStart"/>
      <w:r w:rsidRPr="00051D3D">
        <w:rPr>
          <w:color w:val="000000"/>
        </w:rPr>
        <w:t>Zakaria</w:t>
      </w:r>
      <w:proofErr w:type="spellEnd"/>
      <w:r w:rsidRPr="00051D3D">
        <w:rPr>
          <w:color w:val="000000"/>
        </w:rPr>
        <w:t xml:space="preserve">, </w:t>
      </w:r>
      <w:proofErr w:type="spellStart"/>
      <w:r w:rsidRPr="00051D3D">
        <w:rPr>
          <w:color w:val="000000"/>
        </w:rPr>
        <w:t>Fareed</w:t>
      </w:r>
      <w:proofErr w:type="spellEnd"/>
      <w:r w:rsidRPr="00051D3D">
        <w:rPr>
          <w:color w:val="000000"/>
        </w:rPr>
        <w:t>. 2004.</w:t>
      </w:r>
      <w:r w:rsidRPr="00051D3D">
        <w:rPr>
          <w:rStyle w:val="apple-converted-space"/>
          <w:rFonts w:eastAsia="Batang"/>
          <w:color w:val="000000"/>
        </w:rPr>
        <w:t> </w:t>
      </w:r>
      <w:r>
        <w:rPr>
          <w:bCs/>
          <w:i/>
          <w:iCs/>
          <w:color w:val="000000"/>
        </w:rPr>
        <w:t>The Future of F</w:t>
      </w:r>
      <w:r w:rsidRPr="00205994">
        <w:rPr>
          <w:bCs/>
          <w:i/>
          <w:iCs/>
          <w:color w:val="000000"/>
        </w:rPr>
        <w:t>reedom:</w:t>
      </w:r>
      <w:r w:rsidRPr="00051D3D">
        <w:rPr>
          <w:rStyle w:val="apple-converted-space"/>
          <w:rFonts w:eastAsia="Batang"/>
          <w:b/>
          <w:bCs/>
          <w:i/>
          <w:iCs/>
          <w:color w:val="000000"/>
        </w:rPr>
        <w:t> </w:t>
      </w:r>
      <w:r>
        <w:rPr>
          <w:i/>
          <w:iCs/>
          <w:color w:val="000000"/>
        </w:rPr>
        <w:t>Illiberal Democracy at Home and A</w:t>
      </w:r>
      <w:r w:rsidRPr="00051D3D">
        <w:rPr>
          <w:i/>
          <w:iCs/>
          <w:color w:val="000000"/>
        </w:rPr>
        <w:t>broad</w:t>
      </w:r>
      <w:r w:rsidRPr="00051D3D">
        <w:rPr>
          <w:color w:val="000000"/>
        </w:rPr>
        <w:t>. New York: W. W. Norton &amp; Company.</w:t>
      </w:r>
    </w:p>
    <w:p w:rsidR="0041047F" w:rsidRPr="0021033A" w:rsidRDefault="0041047F" w:rsidP="00747B9D">
      <w:pPr>
        <w:tabs>
          <w:tab w:val="left" w:pos="975"/>
        </w:tabs>
        <w:spacing w:line="480" w:lineRule="auto"/>
      </w:pPr>
    </w:p>
    <w:p w:rsidR="005E7FA4" w:rsidRDefault="005E7FA4">
      <w:pPr>
        <w:spacing w:after="200" w:line="276" w:lineRule="auto"/>
      </w:pPr>
      <w:r>
        <w:br w:type="page"/>
      </w:r>
    </w:p>
    <w:p w:rsidR="007A4620" w:rsidRPr="002B65B9" w:rsidRDefault="007A4620" w:rsidP="00747B9D">
      <w:pPr>
        <w:tabs>
          <w:tab w:val="left" w:pos="975"/>
        </w:tabs>
        <w:spacing w:line="480" w:lineRule="auto"/>
        <w:sectPr w:rsidR="007A4620" w:rsidRPr="002B65B9" w:rsidSect="00232F26">
          <w:headerReference w:type="default" r:id="rId14"/>
          <w:footerReference w:type="default" r:id="rId15"/>
          <w:endnotePr>
            <w:numFmt w:val="decimal"/>
          </w:endnotePr>
          <w:type w:val="continuous"/>
          <w:pgSz w:w="12240" w:h="15840"/>
          <w:pgMar w:top="1440" w:right="1440" w:bottom="1440" w:left="1440" w:header="720" w:footer="720" w:gutter="0"/>
          <w:cols w:space="720"/>
          <w:docGrid w:linePitch="360"/>
        </w:sectPr>
      </w:pPr>
    </w:p>
    <w:p w:rsidR="009D7649" w:rsidRDefault="009D7649" w:rsidP="007B102A"/>
    <w:p w:rsidR="00A944F4" w:rsidRPr="00050F4F" w:rsidRDefault="000F13A1" w:rsidP="00A944F4">
      <w:pPr>
        <w:spacing w:after="200" w:line="276" w:lineRule="auto"/>
        <w:jc w:val="center"/>
        <w:rPr>
          <w:b/>
        </w:rPr>
      </w:pPr>
      <w:r w:rsidRPr="00A944F4">
        <w:rPr>
          <w:color w:val="000000"/>
        </w:rPr>
        <w:object w:dxaOrig="46" w:dyaOrig="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16" o:title=""/>
          </v:shape>
          <w:control r:id="rId17" w:name="_GPL_swf" w:shapeid="_x0000_i1027"/>
        </w:object>
      </w:r>
      <w:r w:rsidR="00A944F4" w:rsidRPr="00A944F4">
        <w:t xml:space="preserve"> </w:t>
      </w:r>
      <w:r w:rsidR="00A944F4" w:rsidRPr="00050F4F">
        <w:rPr>
          <w:b/>
        </w:rPr>
        <w:t>Appendix A</w:t>
      </w:r>
      <w:r w:rsidR="008A43DF">
        <w:rPr>
          <w:b/>
        </w:rPr>
        <w:t>:</w:t>
      </w:r>
      <w:r w:rsidR="00A944F4" w:rsidRPr="00050F4F">
        <w:rPr>
          <w:b/>
        </w:rPr>
        <w:t xml:space="preserve"> Countries included in the analysis</w:t>
      </w:r>
    </w:p>
    <w:p w:rsidR="00A944F4" w:rsidRDefault="00A944F4" w:rsidP="00A944F4"/>
    <w:p w:rsidR="00A944F4" w:rsidRDefault="00A944F4" w:rsidP="00A944F4">
      <w:pPr>
        <w:sectPr w:rsidR="00A944F4" w:rsidSect="00A944F4">
          <w:endnotePr>
            <w:numFmt w:val="decimal"/>
          </w:endnotePr>
          <w:type w:val="continuous"/>
          <w:pgSz w:w="12240" w:h="15840"/>
          <w:pgMar w:top="1440" w:right="1440" w:bottom="1440" w:left="1440" w:header="720" w:footer="720" w:gutter="0"/>
          <w:cols w:space="720"/>
          <w:docGrid w:linePitch="360"/>
        </w:sectPr>
      </w:pPr>
    </w:p>
    <w:tbl>
      <w:tblPr>
        <w:tblW w:w="4536" w:type="dxa"/>
        <w:tblInd w:w="825" w:type="dxa"/>
        <w:tblBorders>
          <w:insideV w:val="single" w:sz="4" w:space="0" w:color="auto"/>
        </w:tblBorders>
        <w:tblLook w:val="04A0" w:firstRow="1" w:lastRow="0" w:firstColumn="1" w:lastColumn="0" w:noHBand="0" w:noVBand="1"/>
      </w:tblPr>
      <w:tblGrid>
        <w:gridCol w:w="4536"/>
      </w:tblGrid>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lastRenderedPageBreak/>
              <w:t>Albania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Argentina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Armenia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Australia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Austria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Bangladesh</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Belgium</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Benin</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Bolivia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Brazil</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Bulgaria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Canada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Chile</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Colombia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Costa Rica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Croatia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Czech Republic</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Denmark</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Dominican Republic</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Ecuador</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El Salvador</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Estonia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Finland</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France</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Georgia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Germany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Germany West</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Ghana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Greece</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Guatemala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Honduras</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Hungary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India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Indonesia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Ireland</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Israel</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Italy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Jamaica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Japan</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lastRenderedPageBreak/>
              <w:t>Kenya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Korea South</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Kyrgyzstan</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Latvia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Lithuania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Macedonia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Mexico</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Moldova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Mongolia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Nepal</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Netherlands</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New Zealand</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Nicaragua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Nigeria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Norway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Pakistan</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Panama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Papua New Guinea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Paraguay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Peru</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Philippines</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Poland</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Portugal</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Romania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Senegal</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Slovakia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Slovenia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Spain</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Sri Lanka</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Sweden</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Switzerland</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Thailand</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Trinidad and Tobago</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Turkey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Ukraine</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United Kingdom</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United States</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Uruguay</w:t>
            </w:r>
          </w:p>
        </w:tc>
      </w:tr>
      <w:tr w:rsidR="00A944F4" w:rsidRPr="007B102A" w:rsidTr="00CB4DBA">
        <w:tc>
          <w:tcPr>
            <w:tcW w:w="4536" w:type="dxa"/>
            <w:shd w:val="clear" w:color="auto" w:fill="auto"/>
          </w:tcPr>
          <w:p w:rsidR="00A944F4" w:rsidRPr="00CB4DBA" w:rsidRDefault="00A944F4" w:rsidP="00BA6E69">
            <w:pPr>
              <w:rPr>
                <w:sz w:val="22"/>
                <w:szCs w:val="22"/>
              </w:rPr>
            </w:pPr>
            <w:r w:rsidRPr="00CB4DBA">
              <w:rPr>
                <w:sz w:val="22"/>
                <w:szCs w:val="22"/>
              </w:rPr>
              <w:t>Venezuela</w:t>
            </w:r>
          </w:p>
        </w:tc>
      </w:tr>
    </w:tbl>
    <w:p w:rsidR="00A944F4" w:rsidRDefault="00A944F4" w:rsidP="00A944F4">
      <w:pPr>
        <w:sectPr w:rsidR="00A944F4" w:rsidSect="007B102A">
          <w:endnotePr>
            <w:numFmt w:val="decimal"/>
          </w:endnotePr>
          <w:type w:val="continuous"/>
          <w:pgSz w:w="12240" w:h="15840"/>
          <w:pgMar w:top="1440" w:right="1440" w:bottom="1440" w:left="1440" w:header="720" w:footer="720" w:gutter="0"/>
          <w:cols w:num="2" w:space="720"/>
          <w:docGrid w:linePitch="360"/>
        </w:sectPr>
      </w:pPr>
    </w:p>
    <w:p w:rsidR="00A944F4" w:rsidRDefault="00A944F4" w:rsidP="00A944F4">
      <w:r>
        <w:lastRenderedPageBreak/>
        <w:br w:type="page"/>
      </w:r>
    </w:p>
    <w:p w:rsidR="006F7128" w:rsidRPr="00050F4F" w:rsidRDefault="006F7128" w:rsidP="00B70901">
      <w:pPr>
        <w:jc w:val="center"/>
        <w:rPr>
          <w:b/>
          <w:color w:val="000000"/>
        </w:rPr>
      </w:pPr>
      <w:r w:rsidRPr="00050F4F">
        <w:rPr>
          <w:b/>
          <w:color w:val="000000"/>
        </w:rPr>
        <w:lastRenderedPageBreak/>
        <w:t xml:space="preserve">Appendix </w:t>
      </w:r>
      <w:r w:rsidR="00A944F4" w:rsidRPr="00050F4F">
        <w:rPr>
          <w:b/>
          <w:color w:val="000000"/>
        </w:rPr>
        <w:t>B</w:t>
      </w:r>
      <w:r w:rsidRPr="00050F4F">
        <w:rPr>
          <w:b/>
          <w:color w:val="000000"/>
        </w:rPr>
        <w:t>: Control variables used in the regression analyses</w:t>
      </w:r>
    </w:p>
    <w:p w:rsidR="006F7128" w:rsidRPr="00050F4F" w:rsidRDefault="006F7128" w:rsidP="00B70901">
      <w:pPr>
        <w:jc w:val="center"/>
        <w:rPr>
          <w:b/>
          <w:color w:val="000000"/>
          <w:sz w:val="27"/>
          <w:szCs w:val="27"/>
        </w:rPr>
      </w:pPr>
    </w:p>
    <w:p w:rsidR="00852C25" w:rsidRDefault="00F81A30" w:rsidP="006F7128">
      <w:pPr>
        <w:spacing w:line="480" w:lineRule="auto"/>
      </w:pPr>
      <w:r w:rsidRPr="00F81A30">
        <w:softHyphen/>
      </w:r>
      <w:r w:rsidR="008A43DF">
        <w:t xml:space="preserve">- </w:t>
      </w:r>
      <w:r w:rsidR="0063108C">
        <w:rPr>
          <w:i/>
        </w:rPr>
        <w:t>Political competition</w:t>
      </w:r>
      <w:r w:rsidR="00852C25">
        <w:t xml:space="preserve">, a variable built from the factor scores for the second </w:t>
      </w:r>
      <w:r w:rsidR="00727310">
        <w:t>factor</w:t>
      </w:r>
      <w:r w:rsidR="00852C25">
        <w:t xml:space="preserve"> in the CFA,</w:t>
      </w:r>
      <w:r w:rsidR="006F7128">
        <w:t xml:space="preserve"> is included as a control </w:t>
      </w:r>
      <w:r w:rsidR="00852C25">
        <w:t>in the model for women’s political rights</w:t>
      </w:r>
      <w:r w:rsidR="00F117DC">
        <w:t xml:space="preserve">. It stands to reason </w:t>
      </w:r>
      <w:r w:rsidR="00852C25">
        <w:t xml:space="preserve">that more competitive political systems should be more likely to uphold women’s political rights. </w:t>
      </w:r>
    </w:p>
    <w:p w:rsidR="00852C25" w:rsidRDefault="00852C25" w:rsidP="006F7128">
      <w:pPr>
        <w:spacing w:line="480" w:lineRule="auto"/>
      </w:pPr>
      <w:r>
        <w:t xml:space="preserve">- </w:t>
      </w:r>
      <w:r>
        <w:rPr>
          <w:i/>
        </w:rPr>
        <w:t>Left executive</w:t>
      </w:r>
      <w:r>
        <w:t>, a dummy variable indicating whether the party of the chief executive is left leaning or not, is only included in the model for workers’ rights. A voluminous literature suggests that countries with left governments do a better job</w:t>
      </w:r>
      <w:r w:rsidR="00F117DC">
        <w:t xml:space="preserve"> enacting and </w:t>
      </w:r>
      <w:r>
        <w:t>protecting worker’s rights.</w:t>
      </w:r>
      <w:r w:rsidR="006F7128">
        <w:t xml:space="preserve">  </w:t>
      </w:r>
    </w:p>
    <w:p w:rsidR="006F7128" w:rsidRDefault="00F81A30" w:rsidP="006F7128">
      <w:pPr>
        <w:spacing w:line="480" w:lineRule="auto"/>
      </w:pPr>
      <w:r>
        <w:rPr>
          <w:i/>
        </w:rPr>
        <w:t xml:space="preserve">- </w:t>
      </w:r>
      <w:r w:rsidR="006F7128" w:rsidRPr="004474F7">
        <w:rPr>
          <w:i/>
        </w:rPr>
        <w:t>Durability</w:t>
      </w:r>
      <w:r w:rsidR="006F7128">
        <w:t xml:space="preserve"> controls for the possibility that older democracies score higher in all empirical measures of reform. Durability is a measure of the length of time since the last regime transition derived from the Polity IV project (Marshall et al. 2011).</w:t>
      </w:r>
    </w:p>
    <w:p w:rsidR="006F7128" w:rsidRDefault="00F81A30" w:rsidP="006F7128">
      <w:pPr>
        <w:spacing w:line="480" w:lineRule="auto"/>
      </w:pPr>
      <w:r>
        <w:t xml:space="preserve">- </w:t>
      </w:r>
      <w:r w:rsidR="006F7128" w:rsidRPr="0008771D">
        <w:t xml:space="preserve">Ethnic </w:t>
      </w:r>
      <w:r w:rsidR="0008771D" w:rsidRPr="0008771D">
        <w:t>domination</w:t>
      </w:r>
      <w:r w:rsidR="006F7128">
        <w:t xml:space="preserve"> has long been seen as detrimental to democracy. Societal pluralism can cause different ethnic groups to struggle for control of the state (</w:t>
      </w:r>
      <w:proofErr w:type="spellStart"/>
      <w:r w:rsidR="006F7128">
        <w:t>Alesina</w:t>
      </w:r>
      <w:proofErr w:type="spellEnd"/>
      <w:r w:rsidR="006F7128">
        <w:t xml:space="preserve"> et al. 2003, 173), which can result in lower inclusiveness, less constrained executives, and less respect for human rights. </w:t>
      </w:r>
      <w:r w:rsidR="0008771D">
        <w:t xml:space="preserve">I use an </w:t>
      </w:r>
      <w:r w:rsidR="006F7128">
        <w:t xml:space="preserve">index </w:t>
      </w:r>
      <w:r w:rsidR="0008771D">
        <w:t xml:space="preserve">of </w:t>
      </w:r>
      <w:r w:rsidR="0008771D" w:rsidRPr="0008771D">
        <w:rPr>
          <w:i/>
        </w:rPr>
        <w:t>ethnic fractionalization</w:t>
      </w:r>
      <w:r w:rsidR="0008771D">
        <w:t xml:space="preserve"> </w:t>
      </w:r>
      <w:r w:rsidR="006F7128">
        <w:t>based on ethno-politically relevant groups from the Ethnic Power Relations dataset (</w:t>
      </w:r>
      <w:proofErr w:type="spellStart"/>
      <w:r w:rsidR="006F7128" w:rsidRPr="008C3C9E">
        <w:t>Weidmann</w:t>
      </w:r>
      <w:proofErr w:type="spellEnd"/>
      <w:r w:rsidR="006F7128">
        <w:t xml:space="preserve"> et al. 2009). </w:t>
      </w:r>
    </w:p>
    <w:p w:rsidR="006F7128" w:rsidRDefault="00F81A30" w:rsidP="006F7128">
      <w:pPr>
        <w:spacing w:line="480" w:lineRule="auto"/>
      </w:pPr>
      <w:r>
        <w:rPr>
          <w:i/>
        </w:rPr>
        <w:t>-</w:t>
      </w:r>
      <w:r w:rsidR="006F7128">
        <w:t xml:space="preserve"> The most economically developed countries also tend to be the most democratic (</w:t>
      </w:r>
      <w:proofErr w:type="spellStart"/>
      <w:r w:rsidR="006F7128">
        <w:t>Alem</w:t>
      </w:r>
      <w:r w:rsidR="00F33C14">
        <w:t>á</w:t>
      </w:r>
      <w:r w:rsidR="006F7128">
        <w:t>n</w:t>
      </w:r>
      <w:proofErr w:type="spellEnd"/>
      <w:r w:rsidR="006F7128">
        <w:t xml:space="preserve"> and Yang 2011). Countries that are more developed also have populations that are more urbanized, educated</w:t>
      </w:r>
      <w:r w:rsidR="00F33C14">
        <w:t>,</w:t>
      </w:r>
      <w:r w:rsidR="006F7128">
        <w:t xml:space="preserve"> and self-expressive, all variables that have been found to lead to a greater incidence of mass protests (Dalton et al. 2010). Large urban concentrations, for example, make dissidents easier to recruit and organize, thereby facilitating the formation of opposition movements (Tilly 1978, 82). Citizens of more developed and urbanized environments are in turn more educated and autonomous. In so doing, they not only possess the capacity to engage in more frequent and </w:t>
      </w:r>
      <w:r w:rsidR="006F7128">
        <w:lastRenderedPageBreak/>
        <w:t xml:space="preserve">visible forms of collective action, but also the identities that place a premium on presenting demands to the government and third parties for consideration. Although I am concerned with the effects of protest on democracy once protest has occurred, it is important to control in the analysis for the tendency of certain countries to be more democratic. </w:t>
      </w:r>
    </w:p>
    <w:p w:rsidR="006F7128" w:rsidRPr="00970418" w:rsidRDefault="006F7128" w:rsidP="006F7128">
      <w:pPr>
        <w:spacing w:line="480" w:lineRule="auto"/>
        <w:ind w:firstLine="720"/>
      </w:pPr>
      <w:r>
        <w:t>I use two measures of development derived from the World Development Indicators</w:t>
      </w:r>
      <w:r w:rsidR="00F33C14">
        <w:t>:</w:t>
      </w:r>
      <w:r>
        <w:t xml:space="preserve"> </w:t>
      </w:r>
      <w:r w:rsidRPr="00212811">
        <w:rPr>
          <w:i/>
        </w:rPr>
        <w:t>per capita GDP</w:t>
      </w:r>
      <w:r>
        <w:t xml:space="preserve"> in current international dollars, and </w:t>
      </w:r>
      <w:r w:rsidRPr="0020401F">
        <w:rPr>
          <w:i/>
        </w:rPr>
        <w:t>per capita GDP</w:t>
      </w:r>
      <w:r>
        <w:t xml:space="preserve"> in constant international dollars. The first measure is preferred whenever </w:t>
      </w:r>
      <w:r w:rsidR="00F33C14">
        <w:t>possible,</w:t>
      </w:r>
      <w:r>
        <w:t xml:space="preserve"> as citizens not always experience the economy in inflation-adjusted terms. O’Donnell (1994), however, attributes the phenomenon of </w:t>
      </w:r>
      <w:proofErr w:type="spellStart"/>
      <w:r>
        <w:t>delegative</w:t>
      </w:r>
      <w:proofErr w:type="spellEnd"/>
      <w:r>
        <w:t xml:space="preserve"> democracy in part to the </w:t>
      </w:r>
      <w:r w:rsidRPr="00537856">
        <w:t xml:space="preserve">severity of the socioeconomic problems that newly installed democratic governments </w:t>
      </w:r>
      <w:r>
        <w:t xml:space="preserve">have inherited. To control for the possibility that presidents usurp more powers in response to adverse economic conditions, I introduce a measure of lagged economic growth in the model for </w:t>
      </w:r>
      <w:r w:rsidRPr="00537856">
        <w:rPr>
          <w:i/>
        </w:rPr>
        <w:t>executive constraints</w:t>
      </w:r>
      <w:r>
        <w:t xml:space="preserve">. Since this measure is adjusted for inflation, I model </w:t>
      </w:r>
      <w:r>
        <w:rPr>
          <w:i/>
        </w:rPr>
        <w:t>executive constraints</w:t>
      </w:r>
      <w:r>
        <w:t xml:space="preserve"> using </w:t>
      </w:r>
      <w:r w:rsidRPr="00765A80">
        <w:rPr>
          <w:i/>
        </w:rPr>
        <w:t>GDP per capita</w:t>
      </w:r>
      <w:r>
        <w:t xml:space="preserve"> in constant terms. Both versions of this variable are </w:t>
      </w:r>
      <w:r w:rsidR="0004714E">
        <w:t>given in</w:t>
      </w:r>
      <w:r>
        <w:t xml:space="preserve"> purchasing power parity (PPP)</w:t>
      </w:r>
      <w:r w:rsidR="0004714E">
        <w:t xml:space="preserve"> units</w:t>
      </w:r>
      <w:r>
        <w:t>.</w:t>
      </w:r>
    </w:p>
    <w:p w:rsidR="006F7128" w:rsidRDefault="0004714E" w:rsidP="006F7128">
      <w:pPr>
        <w:spacing w:line="480" w:lineRule="auto"/>
      </w:pPr>
      <w:r>
        <w:rPr>
          <w:i/>
        </w:rPr>
        <w:t xml:space="preserve">- </w:t>
      </w:r>
      <w:r w:rsidR="006F7128" w:rsidRPr="0004714E">
        <w:rPr>
          <w:i/>
        </w:rPr>
        <w:t>Inequality</w:t>
      </w:r>
      <w:r w:rsidR="006F7128">
        <w:t xml:space="preserve"> in pre-tax, pre-transfer income has long been considered detrimental to democratic governance (</w:t>
      </w:r>
      <w:proofErr w:type="spellStart"/>
      <w:r w:rsidR="006F7128">
        <w:t>Solt</w:t>
      </w:r>
      <w:proofErr w:type="spellEnd"/>
      <w:r w:rsidR="006F7128">
        <w:t xml:space="preserve"> 2008). Great gaps in the income different classes receive may create grievances that make the wealthy less prone to tolerate equal and broad-based citizenship. As a result, market inequality could make institutional reforms more difficult to propose and implement.  The measure of inequality used is the pre-tax, pre-transfer </w:t>
      </w:r>
      <w:proofErr w:type="spellStart"/>
      <w:r w:rsidR="006F7128">
        <w:t>Gini</w:t>
      </w:r>
      <w:proofErr w:type="spellEnd"/>
      <w:r w:rsidR="006F7128">
        <w:t xml:space="preserve"> coefficient from the Standardized World Income Inequality Database (</w:t>
      </w:r>
      <w:proofErr w:type="spellStart"/>
      <w:r w:rsidR="006F7128">
        <w:t>Solt</w:t>
      </w:r>
      <w:proofErr w:type="spellEnd"/>
      <w:r w:rsidR="006F7128">
        <w:t xml:space="preserve"> 2012). </w:t>
      </w:r>
    </w:p>
    <w:p w:rsidR="006F7128" w:rsidRDefault="0004714E" w:rsidP="0004714E">
      <w:pPr>
        <w:spacing w:line="480" w:lineRule="auto"/>
      </w:pPr>
      <w:r>
        <w:rPr>
          <w:i/>
        </w:rPr>
        <w:t>-</w:t>
      </w:r>
      <w:r w:rsidR="006F7128">
        <w:t xml:space="preserve"> Countries that depend on natural resource wealth have long been considered inauspicious for democratic rule (Ross 2012). The unusually large rents oil generates reduce the need to tax the population, thereby depriving it of collective representation.</w:t>
      </w:r>
      <w:r w:rsidR="006F7128" w:rsidRPr="00DA71DF">
        <w:t xml:space="preserve"> </w:t>
      </w:r>
      <w:r w:rsidR="006F7128">
        <w:t xml:space="preserve">Oil rents should also reduce </w:t>
      </w:r>
      <w:r w:rsidR="006F7128">
        <w:lastRenderedPageBreak/>
        <w:t xml:space="preserve">accountability since the recipients of these rents tend to be state owned enterprises (with the exception of oil companies in the United States, which are in private hands). I use an indicator of </w:t>
      </w:r>
      <w:r w:rsidR="006F7128" w:rsidRPr="0004714E">
        <w:rPr>
          <w:i/>
        </w:rPr>
        <w:t>oil rents</w:t>
      </w:r>
      <w:r w:rsidR="006F7128">
        <w:t xml:space="preserve"> from the World Development Indicators database that measures </w:t>
      </w:r>
      <w:r w:rsidR="006F7128" w:rsidRPr="005B2A15">
        <w:t>the difference between the value of crude oil production at world prices and total costs of production</w:t>
      </w:r>
      <w:r w:rsidR="006F7128">
        <w:t xml:space="preserve"> (as a percentage of GDP)</w:t>
      </w:r>
      <w:r w:rsidR="006F7128" w:rsidRPr="005B2A15">
        <w:t>.</w:t>
      </w:r>
    </w:p>
    <w:p w:rsidR="006F7128" w:rsidRDefault="0004714E" w:rsidP="007F0109">
      <w:pPr>
        <w:spacing w:line="480" w:lineRule="auto"/>
      </w:pPr>
      <w:r>
        <w:rPr>
          <w:i/>
        </w:rPr>
        <w:t xml:space="preserve">- </w:t>
      </w:r>
      <w:r w:rsidR="006F7128">
        <w:t>There is no scholarly consensus on the effect of trade and capital flows on democracy (</w:t>
      </w:r>
      <w:proofErr w:type="spellStart"/>
      <w:r w:rsidR="006F7128">
        <w:t>Coppedge</w:t>
      </w:r>
      <w:proofErr w:type="spellEnd"/>
      <w:r w:rsidR="006F7128">
        <w:t xml:space="preserve"> 2012, 301-2). More openness to trade is known to improve labor conditions in particular (Flanagan 2006), but less is known about its effects on other aspects of democratic governance. I use a measure of economic </w:t>
      </w:r>
      <w:r w:rsidR="006F7128" w:rsidRPr="0004714E">
        <w:rPr>
          <w:i/>
        </w:rPr>
        <w:t>globalization</w:t>
      </w:r>
      <w:r w:rsidR="006F7128">
        <w:t xml:space="preserve"> developed by Axel </w:t>
      </w:r>
      <w:proofErr w:type="spellStart"/>
      <w:r w:rsidR="006F7128">
        <w:t>Dreher</w:t>
      </w:r>
      <w:proofErr w:type="spellEnd"/>
      <w:r w:rsidR="006F7128">
        <w:t xml:space="preserve"> (2006) that weighs financial and trade flows as a percentage of GDP.</w:t>
      </w:r>
      <w:r w:rsidR="006F7128">
        <w:rPr>
          <w:rStyle w:val="EndnoteReference"/>
        </w:rPr>
        <w:endnoteReference w:id="26"/>
      </w:r>
    </w:p>
    <w:p w:rsidR="006F7128" w:rsidRDefault="006F7128" w:rsidP="00B70901">
      <w:pPr>
        <w:jc w:val="center"/>
        <w:rPr>
          <w:color w:val="000000"/>
          <w:sz w:val="27"/>
          <w:szCs w:val="27"/>
        </w:rPr>
      </w:pPr>
    </w:p>
    <w:p w:rsidR="006F7128" w:rsidRDefault="006F7128">
      <w:pPr>
        <w:spacing w:after="200" w:line="276" w:lineRule="auto"/>
        <w:rPr>
          <w:color w:val="000000"/>
          <w:sz w:val="27"/>
          <w:szCs w:val="27"/>
        </w:rPr>
      </w:pPr>
      <w:r>
        <w:rPr>
          <w:color w:val="000000"/>
          <w:sz w:val="27"/>
          <w:szCs w:val="27"/>
        </w:rPr>
        <w:br w:type="page"/>
      </w:r>
    </w:p>
    <w:p w:rsidR="00E207B5" w:rsidRPr="00050F4F" w:rsidRDefault="00D524B5">
      <w:pPr>
        <w:rPr>
          <w:b/>
        </w:rPr>
      </w:pPr>
      <w:r>
        <w:rPr>
          <w:b/>
        </w:rPr>
        <w:lastRenderedPageBreak/>
        <w:t>Notes</w:t>
      </w:r>
    </w:p>
    <w:sectPr w:rsidR="00E207B5" w:rsidRPr="00050F4F" w:rsidSect="007B102A">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F4" w:rsidRDefault="000A2CF4" w:rsidP="00232F26">
      <w:r>
        <w:separator/>
      </w:r>
    </w:p>
  </w:endnote>
  <w:endnote w:type="continuationSeparator" w:id="0">
    <w:p w:rsidR="000A2CF4" w:rsidRDefault="000A2CF4" w:rsidP="00232F26">
      <w:r>
        <w:continuationSeparator/>
      </w:r>
    </w:p>
  </w:endnote>
  <w:endnote w:id="1">
    <w:p w:rsidR="000A2CF4" w:rsidRDefault="000A2CF4">
      <w:pPr>
        <w:pStyle w:val="EndnoteText"/>
        <w:spacing w:line="480" w:lineRule="auto"/>
        <w:rPr>
          <w:sz w:val="24"/>
          <w:szCs w:val="24"/>
        </w:rPr>
      </w:pPr>
      <w:r w:rsidRPr="008A3E89">
        <w:rPr>
          <w:rStyle w:val="EndnoteReference"/>
          <w:sz w:val="24"/>
          <w:szCs w:val="24"/>
        </w:rPr>
        <w:endnoteRef/>
      </w:r>
      <w:r w:rsidRPr="008A3E89">
        <w:rPr>
          <w:sz w:val="24"/>
          <w:szCs w:val="24"/>
        </w:rPr>
        <w:t xml:space="preserve"> I would like to thank </w:t>
      </w:r>
      <w:proofErr w:type="spellStart"/>
      <w:r w:rsidRPr="008A3E89">
        <w:rPr>
          <w:sz w:val="24"/>
          <w:szCs w:val="24"/>
        </w:rPr>
        <w:t>Mo</w:t>
      </w:r>
      <w:r>
        <w:rPr>
          <w:sz w:val="24"/>
          <w:szCs w:val="24"/>
        </w:rPr>
        <w:t>isés</w:t>
      </w:r>
      <w:proofErr w:type="spellEnd"/>
      <w:r>
        <w:rPr>
          <w:sz w:val="24"/>
          <w:szCs w:val="24"/>
        </w:rPr>
        <w:t xml:space="preserve"> E. </w:t>
      </w:r>
      <w:proofErr w:type="spellStart"/>
      <w:r>
        <w:rPr>
          <w:sz w:val="24"/>
          <w:szCs w:val="24"/>
        </w:rPr>
        <w:t>Arce</w:t>
      </w:r>
      <w:proofErr w:type="spellEnd"/>
      <w:r>
        <w:rPr>
          <w:sz w:val="24"/>
          <w:szCs w:val="24"/>
        </w:rPr>
        <w:t xml:space="preserve">, Mona El </w:t>
      </w:r>
      <w:proofErr w:type="spellStart"/>
      <w:r>
        <w:rPr>
          <w:sz w:val="24"/>
          <w:szCs w:val="24"/>
        </w:rPr>
        <w:t>Ghobashy</w:t>
      </w:r>
      <w:proofErr w:type="spellEnd"/>
      <w:r>
        <w:rPr>
          <w:sz w:val="24"/>
          <w:szCs w:val="24"/>
        </w:rPr>
        <w:t>,</w:t>
      </w:r>
      <w:r w:rsidRPr="008A3E89">
        <w:rPr>
          <w:sz w:val="24"/>
          <w:szCs w:val="24"/>
        </w:rPr>
        <w:t xml:space="preserve"> </w:t>
      </w:r>
      <w:r w:rsidR="0072161A">
        <w:rPr>
          <w:sz w:val="24"/>
          <w:szCs w:val="24"/>
        </w:rPr>
        <w:t xml:space="preserve">Desmond King, </w:t>
      </w:r>
      <w:proofErr w:type="spellStart"/>
      <w:r>
        <w:rPr>
          <w:sz w:val="24"/>
          <w:szCs w:val="24"/>
        </w:rPr>
        <w:t>Olena</w:t>
      </w:r>
      <w:proofErr w:type="spellEnd"/>
      <w:r>
        <w:rPr>
          <w:sz w:val="24"/>
          <w:szCs w:val="24"/>
        </w:rPr>
        <w:t xml:space="preserve"> </w:t>
      </w:r>
      <w:proofErr w:type="spellStart"/>
      <w:r>
        <w:rPr>
          <w:sz w:val="24"/>
          <w:szCs w:val="24"/>
        </w:rPr>
        <w:t>Nikolayenko</w:t>
      </w:r>
      <w:proofErr w:type="spellEnd"/>
      <w:r>
        <w:rPr>
          <w:sz w:val="24"/>
          <w:szCs w:val="24"/>
        </w:rPr>
        <w:t xml:space="preserve">, </w:t>
      </w:r>
      <w:r w:rsidRPr="008A3E89">
        <w:rPr>
          <w:sz w:val="24"/>
          <w:szCs w:val="24"/>
        </w:rPr>
        <w:t xml:space="preserve">Roberta Rice, </w:t>
      </w:r>
      <w:proofErr w:type="spellStart"/>
      <w:r w:rsidRPr="008A3E89">
        <w:rPr>
          <w:sz w:val="24"/>
          <w:szCs w:val="24"/>
        </w:rPr>
        <w:t>Bogdan</w:t>
      </w:r>
      <w:proofErr w:type="spellEnd"/>
      <w:r w:rsidRPr="008A3E89">
        <w:rPr>
          <w:sz w:val="24"/>
          <w:szCs w:val="24"/>
        </w:rPr>
        <w:t xml:space="preserve"> </w:t>
      </w:r>
      <w:proofErr w:type="spellStart"/>
      <w:r w:rsidRPr="008A3E89">
        <w:rPr>
          <w:sz w:val="24"/>
          <w:szCs w:val="24"/>
        </w:rPr>
        <w:t>Vasi</w:t>
      </w:r>
      <w:proofErr w:type="spellEnd"/>
      <w:r w:rsidRPr="008A3E89">
        <w:rPr>
          <w:sz w:val="24"/>
          <w:szCs w:val="24"/>
        </w:rPr>
        <w:t xml:space="preserve">, participants at the Fordham Politics brownbag, participants at the Politics and Protest Workshop at the CUNY Graduate Center, the 2013 Western Political Science “Violence and Protest against States” panel participants, and participants at the 2013 American Political Science Association Annual Meeting panel on “Protest and Democracy” for substantive comments. I would also like to thank </w:t>
      </w:r>
      <w:r>
        <w:rPr>
          <w:sz w:val="24"/>
          <w:szCs w:val="24"/>
        </w:rPr>
        <w:t xml:space="preserve">Ida </w:t>
      </w:r>
      <w:proofErr w:type="spellStart"/>
      <w:r>
        <w:rPr>
          <w:sz w:val="24"/>
          <w:szCs w:val="24"/>
        </w:rPr>
        <w:t>Bastiaens</w:t>
      </w:r>
      <w:proofErr w:type="spellEnd"/>
      <w:r>
        <w:rPr>
          <w:sz w:val="24"/>
          <w:szCs w:val="24"/>
        </w:rPr>
        <w:t xml:space="preserve"> and </w:t>
      </w:r>
      <w:r w:rsidRPr="008A3E89">
        <w:rPr>
          <w:sz w:val="24"/>
          <w:szCs w:val="24"/>
        </w:rPr>
        <w:t xml:space="preserve">Sophia </w:t>
      </w:r>
      <w:proofErr w:type="spellStart"/>
      <w:r w:rsidRPr="008A3E89">
        <w:rPr>
          <w:sz w:val="24"/>
          <w:szCs w:val="24"/>
        </w:rPr>
        <w:t>Rabe-Hesketh</w:t>
      </w:r>
      <w:proofErr w:type="spellEnd"/>
      <w:r w:rsidRPr="008A3E89">
        <w:rPr>
          <w:sz w:val="24"/>
          <w:szCs w:val="24"/>
        </w:rPr>
        <w:t xml:space="preserve"> for help with the regression models specified. </w:t>
      </w:r>
    </w:p>
  </w:endnote>
  <w:endnote w:id="2">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For a regime to be truly democratic, citizens also have to be protected from arbitrary state action and engage in binding consultation on state policies and personnel. </w:t>
      </w:r>
    </w:p>
  </w:endnote>
  <w:endnote w:id="3">
    <w:p w:rsidR="000A2CF4" w:rsidRPr="00050F4F" w:rsidRDefault="000A2CF4" w:rsidP="002156D5">
      <w:pPr>
        <w:pStyle w:val="EndnoteText"/>
        <w:spacing w:line="480" w:lineRule="auto"/>
        <w:rPr>
          <w:sz w:val="24"/>
          <w:szCs w:val="24"/>
        </w:rPr>
      </w:pPr>
      <w:r w:rsidRPr="00050F4F">
        <w:rPr>
          <w:rStyle w:val="EndnoteReference"/>
          <w:sz w:val="24"/>
          <w:szCs w:val="24"/>
        </w:rPr>
        <w:endnoteRef/>
      </w:r>
      <w:r w:rsidRPr="00050F4F">
        <w:rPr>
          <w:sz w:val="24"/>
          <w:szCs w:val="24"/>
        </w:rPr>
        <w:t xml:space="preserve"> Since 1974, political protest has helped </w:t>
      </w:r>
      <w:r w:rsidRPr="00050F4F">
        <w:rPr>
          <w:sz w:val="24"/>
          <w:szCs w:val="24"/>
          <w:lang w:eastAsia="ko-KR"/>
        </w:rPr>
        <w:t>bring democracy to a greater number of countries than ever before.</w:t>
      </w:r>
      <w:r w:rsidRPr="00050F4F">
        <w:rPr>
          <w:sz w:val="24"/>
          <w:szCs w:val="24"/>
        </w:rPr>
        <w:t xml:space="preserve"> </w:t>
      </w:r>
      <w:proofErr w:type="gramStart"/>
      <w:r w:rsidRPr="00050F4F">
        <w:rPr>
          <w:sz w:val="24"/>
          <w:szCs w:val="24"/>
        </w:rPr>
        <w:t>Witness, for example, the color revolutions in the post-communist world (Diamond 2008, 191) and the Arab Spring that began in North Africa in 2011 and is still being felt throughout the Middle East.</w:t>
      </w:r>
      <w:proofErr w:type="gramEnd"/>
      <w:r w:rsidRPr="00050F4F">
        <w:rPr>
          <w:sz w:val="24"/>
          <w:szCs w:val="24"/>
        </w:rPr>
        <w:t xml:space="preserve"> Once a new democratic regime has been installed, the expectation is that violent challenges will decline while nonviolent protest flourishes (</w:t>
      </w:r>
      <w:proofErr w:type="spellStart"/>
      <w:r w:rsidRPr="00050F4F">
        <w:rPr>
          <w:sz w:val="24"/>
          <w:szCs w:val="24"/>
        </w:rPr>
        <w:t>Schatzman</w:t>
      </w:r>
      <w:proofErr w:type="spellEnd"/>
      <w:r w:rsidRPr="00050F4F">
        <w:rPr>
          <w:sz w:val="24"/>
          <w:szCs w:val="24"/>
        </w:rPr>
        <w:t xml:space="preserve"> 2005).</w:t>
      </w:r>
    </w:p>
  </w:endnote>
  <w:endnote w:id="4">
    <w:p w:rsidR="000A2CF4" w:rsidRDefault="000A2CF4">
      <w:pPr>
        <w:pStyle w:val="EndnoteText"/>
        <w:spacing w:line="480" w:lineRule="auto"/>
        <w:rPr>
          <w:sz w:val="24"/>
          <w:szCs w:val="24"/>
        </w:rPr>
      </w:pPr>
      <w:r w:rsidRPr="009E6161">
        <w:rPr>
          <w:rStyle w:val="EndnoteReference"/>
          <w:sz w:val="24"/>
          <w:szCs w:val="24"/>
        </w:rPr>
        <w:endnoteRef/>
      </w:r>
      <w:r w:rsidRPr="009E6161">
        <w:rPr>
          <w:sz w:val="24"/>
          <w:szCs w:val="24"/>
        </w:rPr>
        <w:t xml:space="preserve"> </w:t>
      </w:r>
      <w:r>
        <w:rPr>
          <w:sz w:val="24"/>
          <w:szCs w:val="24"/>
        </w:rPr>
        <w:t xml:space="preserve">As Weldon (2011, 3) remarks, “democracy tends to be a ‘dependent variable’ for sociologists. As a result, few scholars of social movements have assessed these movements in terms of their potential contribution to democracy.” </w:t>
      </w:r>
    </w:p>
  </w:endnote>
  <w:endnote w:id="5">
    <w:p w:rsidR="000A2CF4" w:rsidRDefault="000A2CF4">
      <w:pPr>
        <w:pStyle w:val="EndnoteText"/>
        <w:spacing w:line="480" w:lineRule="auto"/>
        <w:rPr>
          <w:sz w:val="24"/>
          <w:szCs w:val="24"/>
        </w:rPr>
      </w:pPr>
      <w:r w:rsidRPr="00834E6C">
        <w:rPr>
          <w:rStyle w:val="EndnoteReference"/>
          <w:sz w:val="24"/>
          <w:szCs w:val="24"/>
        </w:rPr>
        <w:endnoteRef/>
      </w:r>
      <w:r w:rsidRPr="00834E6C">
        <w:rPr>
          <w:sz w:val="24"/>
          <w:szCs w:val="24"/>
        </w:rPr>
        <w:t xml:space="preserve"> Social movements have not traditionally been seen as </w:t>
      </w:r>
      <w:r>
        <w:rPr>
          <w:sz w:val="24"/>
          <w:szCs w:val="24"/>
        </w:rPr>
        <w:t>fulfilling a representative function</w:t>
      </w:r>
      <w:r w:rsidRPr="00834E6C">
        <w:rPr>
          <w:sz w:val="24"/>
          <w:szCs w:val="24"/>
        </w:rPr>
        <w:t>. As Weldon (2011, 1) compellingly argues, however, “</w:t>
      </w:r>
      <w:proofErr w:type="gramStart"/>
      <w:r w:rsidRPr="00834E6C">
        <w:rPr>
          <w:sz w:val="24"/>
          <w:szCs w:val="24"/>
        </w:rPr>
        <w:t>social</w:t>
      </w:r>
      <w:proofErr w:type="gramEnd"/>
      <w:r w:rsidRPr="00834E6C">
        <w:rPr>
          <w:sz w:val="24"/>
          <w:szCs w:val="24"/>
        </w:rPr>
        <w:t xml:space="preserve"> movements are important avenues of political representation, especially for excluded and disadvantaged groups”. </w:t>
      </w:r>
    </w:p>
  </w:endnote>
  <w:endnote w:id="6">
    <w:p w:rsidR="000A2CF4" w:rsidRPr="00050F4F" w:rsidRDefault="000A2CF4" w:rsidP="008C4AEF">
      <w:pPr>
        <w:pStyle w:val="EndnoteText"/>
        <w:spacing w:line="480" w:lineRule="auto"/>
        <w:rPr>
          <w:sz w:val="24"/>
          <w:szCs w:val="24"/>
        </w:rPr>
      </w:pPr>
      <w:r w:rsidRPr="00050F4F">
        <w:rPr>
          <w:rStyle w:val="EndnoteReference"/>
          <w:sz w:val="24"/>
          <w:szCs w:val="24"/>
        </w:rPr>
        <w:endnoteRef/>
      </w:r>
      <w:r w:rsidRPr="00050F4F">
        <w:rPr>
          <w:sz w:val="24"/>
          <w:szCs w:val="24"/>
        </w:rPr>
        <w:t xml:space="preserve"> The complete definition of this and other human rights examined here can be found at</w:t>
      </w:r>
      <w:r>
        <w:rPr>
          <w:sz w:val="24"/>
          <w:szCs w:val="24"/>
        </w:rPr>
        <w:t>:</w:t>
      </w:r>
      <w:r w:rsidRPr="00050F4F">
        <w:rPr>
          <w:sz w:val="24"/>
          <w:szCs w:val="24"/>
        </w:rPr>
        <w:t xml:space="preserve"> </w:t>
      </w:r>
      <w:hyperlink r:id="rId1" w:history="1">
        <w:r w:rsidRPr="00050F4F">
          <w:rPr>
            <w:rStyle w:val="Hyperlink"/>
            <w:sz w:val="24"/>
            <w:szCs w:val="24"/>
          </w:rPr>
          <w:t>http://ciri.binghamton.edu/documentation/ciri_variables_short_descriptions.pdf</w:t>
        </w:r>
      </w:hyperlink>
      <w:r w:rsidRPr="00050F4F">
        <w:rPr>
          <w:sz w:val="24"/>
          <w:szCs w:val="24"/>
        </w:rPr>
        <w:t xml:space="preserve">. </w:t>
      </w:r>
    </w:p>
  </w:endnote>
  <w:endnote w:id="7">
    <w:p w:rsidR="000A2CF4" w:rsidRPr="00050F4F" w:rsidRDefault="000A2CF4" w:rsidP="002A568E">
      <w:pPr>
        <w:pStyle w:val="EndnoteText"/>
        <w:spacing w:line="480" w:lineRule="auto"/>
        <w:rPr>
          <w:sz w:val="24"/>
          <w:szCs w:val="24"/>
        </w:rPr>
      </w:pPr>
      <w:r w:rsidRPr="00050F4F">
        <w:rPr>
          <w:rStyle w:val="EndnoteReference"/>
          <w:sz w:val="24"/>
          <w:szCs w:val="24"/>
        </w:rPr>
        <w:endnoteRef/>
      </w:r>
      <w:r w:rsidRPr="00050F4F">
        <w:rPr>
          <w:sz w:val="24"/>
          <w:szCs w:val="24"/>
        </w:rPr>
        <w:t xml:space="preserve"> Dahl used the term </w:t>
      </w:r>
      <w:proofErr w:type="spellStart"/>
      <w:r w:rsidRPr="00050F4F">
        <w:rPr>
          <w:sz w:val="24"/>
          <w:szCs w:val="24"/>
        </w:rPr>
        <w:t>polyarchy</w:t>
      </w:r>
      <w:proofErr w:type="spellEnd"/>
      <w:r>
        <w:rPr>
          <w:sz w:val="24"/>
          <w:szCs w:val="24"/>
        </w:rPr>
        <w:t xml:space="preserve">—rule </w:t>
      </w:r>
      <w:r w:rsidRPr="00050F4F">
        <w:rPr>
          <w:sz w:val="24"/>
          <w:szCs w:val="24"/>
        </w:rPr>
        <w:t>by the many</w:t>
      </w:r>
      <w:r>
        <w:rPr>
          <w:sz w:val="24"/>
          <w:szCs w:val="24"/>
        </w:rPr>
        <w:t xml:space="preserve">—as </w:t>
      </w:r>
      <w:r w:rsidRPr="00050F4F">
        <w:rPr>
          <w:sz w:val="24"/>
          <w:szCs w:val="24"/>
        </w:rPr>
        <w:t>a synonym for democracy, which he regarded as an ideal political regime. Democracies, Dahl implied, must “have substance, quality, and meaning. They must, over time, hear people’s voices, engage their participation, tolerate their protests, protect their freedoms, and respond to their needs” (Diamond 2008, 292).</w:t>
      </w:r>
    </w:p>
  </w:endnote>
  <w:endnote w:id="8">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The distinction between illiberal and liberal democracies originated from the observation that during the latter part of the Third Wave, “human rights violations have become widespread in countries that are formally democratic” (Diamond 1999, 34). Countries where competition to determine who rules does not ensure outcomes such as “high levels of freedom, equality, transparency, [and] social justice” (Diamond 2008, 23) are also referred to as formal or electoral democracies (</w:t>
      </w:r>
      <w:proofErr w:type="spellStart"/>
      <w:r w:rsidRPr="00050F4F">
        <w:rPr>
          <w:sz w:val="24"/>
          <w:szCs w:val="24"/>
        </w:rPr>
        <w:t>Inglehart</w:t>
      </w:r>
      <w:proofErr w:type="spellEnd"/>
      <w:r w:rsidRPr="00050F4F">
        <w:rPr>
          <w:sz w:val="24"/>
          <w:szCs w:val="24"/>
        </w:rPr>
        <w:t xml:space="preserve"> and </w:t>
      </w:r>
      <w:proofErr w:type="spellStart"/>
      <w:r w:rsidRPr="00050F4F">
        <w:rPr>
          <w:sz w:val="24"/>
          <w:szCs w:val="24"/>
        </w:rPr>
        <w:t>Welzel</w:t>
      </w:r>
      <w:proofErr w:type="spellEnd"/>
      <w:r w:rsidRPr="00050F4F">
        <w:rPr>
          <w:sz w:val="24"/>
          <w:szCs w:val="24"/>
        </w:rPr>
        <w:t xml:space="preserve"> 2005; </w:t>
      </w:r>
      <w:proofErr w:type="spellStart"/>
      <w:r w:rsidRPr="00050F4F">
        <w:rPr>
          <w:sz w:val="24"/>
          <w:szCs w:val="24"/>
        </w:rPr>
        <w:t>Munck</w:t>
      </w:r>
      <w:proofErr w:type="spellEnd"/>
      <w:r w:rsidRPr="00050F4F">
        <w:rPr>
          <w:sz w:val="24"/>
          <w:szCs w:val="24"/>
        </w:rPr>
        <w:t xml:space="preserve"> 2009). Some refer to democracies that ensure these outcomes as </w:t>
      </w:r>
      <w:r>
        <w:rPr>
          <w:sz w:val="24"/>
          <w:szCs w:val="24"/>
        </w:rPr>
        <w:t>“</w:t>
      </w:r>
      <w:r w:rsidRPr="00050F4F">
        <w:rPr>
          <w:sz w:val="24"/>
          <w:szCs w:val="24"/>
        </w:rPr>
        <w:t>liberal democracies</w:t>
      </w:r>
      <w:r>
        <w:rPr>
          <w:sz w:val="24"/>
          <w:szCs w:val="24"/>
        </w:rPr>
        <w:t>”</w:t>
      </w:r>
      <w:r w:rsidRPr="00050F4F">
        <w:rPr>
          <w:sz w:val="24"/>
          <w:szCs w:val="24"/>
        </w:rPr>
        <w:t xml:space="preserve"> (Freedom House 2012). Others go still further when they claim that corruption can prevent a government from being institutionally effective and hence accountable to the people (</w:t>
      </w:r>
      <w:proofErr w:type="spellStart"/>
      <w:r w:rsidRPr="00050F4F">
        <w:rPr>
          <w:sz w:val="24"/>
          <w:szCs w:val="24"/>
        </w:rPr>
        <w:t>Inglehart</w:t>
      </w:r>
      <w:proofErr w:type="spellEnd"/>
      <w:r w:rsidRPr="00050F4F">
        <w:rPr>
          <w:sz w:val="24"/>
          <w:szCs w:val="24"/>
        </w:rPr>
        <w:t xml:space="preserve"> and </w:t>
      </w:r>
      <w:proofErr w:type="spellStart"/>
      <w:r w:rsidRPr="00050F4F">
        <w:rPr>
          <w:sz w:val="24"/>
          <w:szCs w:val="24"/>
        </w:rPr>
        <w:t>Welzel</w:t>
      </w:r>
      <w:proofErr w:type="spellEnd"/>
      <w:r w:rsidRPr="00050F4F">
        <w:rPr>
          <w:sz w:val="24"/>
          <w:szCs w:val="24"/>
        </w:rPr>
        <w:t xml:space="preserve"> 2005, 154). They thus speak of </w:t>
      </w:r>
      <w:r>
        <w:rPr>
          <w:sz w:val="24"/>
          <w:szCs w:val="24"/>
        </w:rPr>
        <w:t>“</w:t>
      </w:r>
      <w:r w:rsidRPr="00050F4F">
        <w:rPr>
          <w:sz w:val="24"/>
          <w:szCs w:val="24"/>
        </w:rPr>
        <w:t>effective democracy</w:t>
      </w:r>
      <w:r>
        <w:rPr>
          <w:sz w:val="24"/>
          <w:szCs w:val="24"/>
        </w:rPr>
        <w:t>”</w:t>
      </w:r>
      <w:r w:rsidRPr="00050F4F">
        <w:rPr>
          <w:sz w:val="24"/>
          <w:szCs w:val="24"/>
        </w:rPr>
        <w:t xml:space="preserve"> as a combination of liberal democracy and an environment free of corruption. For a full definition of the term </w:t>
      </w:r>
      <w:r>
        <w:rPr>
          <w:sz w:val="24"/>
          <w:szCs w:val="24"/>
        </w:rPr>
        <w:t>“</w:t>
      </w:r>
      <w:r w:rsidRPr="00050F4F">
        <w:rPr>
          <w:sz w:val="24"/>
          <w:szCs w:val="24"/>
        </w:rPr>
        <w:t>electoral democracy</w:t>
      </w:r>
      <w:r>
        <w:rPr>
          <w:sz w:val="24"/>
          <w:szCs w:val="24"/>
        </w:rPr>
        <w:t>”</w:t>
      </w:r>
      <w:r w:rsidRPr="00050F4F">
        <w:rPr>
          <w:sz w:val="24"/>
          <w:szCs w:val="24"/>
        </w:rPr>
        <w:t xml:space="preserve"> and a comparison with </w:t>
      </w:r>
      <w:r>
        <w:rPr>
          <w:sz w:val="24"/>
          <w:szCs w:val="24"/>
        </w:rPr>
        <w:t>“</w:t>
      </w:r>
      <w:r w:rsidRPr="00050F4F">
        <w:rPr>
          <w:sz w:val="24"/>
          <w:szCs w:val="24"/>
        </w:rPr>
        <w:t>liberal democracy</w:t>
      </w:r>
      <w:r>
        <w:rPr>
          <w:sz w:val="24"/>
          <w:szCs w:val="24"/>
        </w:rPr>
        <w:t>,”</w:t>
      </w:r>
      <w:r w:rsidRPr="00050F4F">
        <w:rPr>
          <w:sz w:val="24"/>
          <w:szCs w:val="24"/>
        </w:rPr>
        <w:t xml:space="preserve"> see the methodological appendix in Freedom House’s “Freedom in the World 2012” report</w:t>
      </w:r>
      <w:r>
        <w:rPr>
          <w:sz w:val="24"/>
          <w:szCs w:val="24"/>
        </w:rPr>
        <w:t>;</w:t>
      </w:r>
      <w:r w:rsidRPr="00050F4F">
        <w:rPr>
          <w:sz w:val="24"/>
          <w:szCs w:val="24"/>
        </w:rPr>
        <w:t xml:space="preserve"> available at</w:t>
      </w:r>
      <w:r>
        <w:rPr>
          <w:sz w:val="24"/>
          <w:szCs w:val="24"/>
        </w:rPr>
        <w:t>:</w:t>
      </w:r>
      <w:r w:rsidRPr="00050F4F">
        <w:rPr>
          <w:sz w:val="24"/>
          <w:szCs w:val="24"/>
        </w:rPr>
        <w:t xml:space="preserve"> </w:t>
      </w:r>
      <w:hyperlink r:id="rId2" w:history="1">
        <w:r w:rsidRPr="00050F4F">
          <w:rPr>
            <w:rStyle w:val="Hyperlink"/>
            <w:sz w:val="24"/>
            <w:szCs w:val="24"/>
          </w:rPr>
          <w:t>http://www.freedomhouse.org/report/freedom-world-2012/methodology</w:t>
        </w:r>
      </w:hyperlink>
      <w:r w:rsidRPr="00050F4F">
        <w:rPr>
          <w:sz w:val="24"/>
          <w:szCs w:val="24"/>
        </w:rPr>
        <w:t>.</w:t>
      </w:r>
    </w:p>
  </w:endnote>
  <w:endnote w:id="9">
    <w:p w:rsidR="000A2CF4" w:rsidRPr="00050F4F" w:rsidRDefault="000A2CF4" w:rsidP="00F47F3B">
      <w:pPr>
        <w:pStyle w:val="EndnoteText"/>
        <w:spacing w:line="480" w:lineRule="auto"/>
        <w:rPr>
          <w:sz w:val="24"/>
          <w:szCs w:val="24"/>
        </w:rPr>
      </w:pPr>
      <w:r w:rsidRPr="00050F4F">
        <w:rPr>
          <w:rStyle w:val="EndnoteReference"/>
          <w:sz w:val="24"/>
          <w:szCs w:val="24"/>
        </w:rPr>
        <w:endnoteRef/>
      </w:r>
      <w:r w:rsidRPr="00050F4F">
        <w:rPr>
          <w:sz w:val="24"/>
          <w:szCs w:val="24"/>
        </w:rPr>
        <w:t xml:space="preserve"> </w:t>
      </w:r>
      <w:r>
        <w:rPr>
          <w:sz w:val="24"/>
          <w:szCs w:val="24"/>
        </w:rPr>
        <w:t>Whenever equality of opportunities is not the outcome of market activities, democratic governments</w:t>
      </w:r>
      <w:r w:rsidRPr="00050F4F">
        <w:rPr>
          <w:sz w:val="24"/>
          <w:szCs w:val="24"/>
        </w:rPr>
        <w:t xml:space="preserve"> </w:t>
      </w:r>
      <w:r>
        <w:rPr>
          <w:sz w:val="24"/>
          <w:szCs w:val="24"/>
        </w:rPr>
        <w:t>can meet</w:t>
      </w:r>
      <w:r w:rsidRPr="00050F4F">
        <w:rPr>
          <w:sz w:val="24"/>
          <w:szCs w:val="24"/>
        </w:rPr>
        <w:t xml:space="preserve"> basic needs for food, shelter, education</w:t>
      </w:r>
      <w:r>
        <w:rPr>
          <w:sz w:val="24"/>
          <w:szCs w:val="24"/>
        </w:rPr>
        <w:t>,</w:t>
      </w:r>
      <w:r w:rsidRPr="00050F4F">
        <w:rPr>
          <w:sz w:val="24"/>
          <w:szCs w:val="24"/>
        </w:rPr>
        <w:t xml:space="preserve"> and incom</w:t>
      </w:r>
      <w:r>
        <w:rPr>
          <w:sz w:val="24"/>
          <w:szCs w:val="24"/>
        </w:rPr>
        <w:t>e security for every individual</w:t>
      </w:r>
      <w:r w:rsidRPr="00050F4F">
        <w:rPr>
          <w:sz w:val="24"/>
          <w:szCs w:val="24"/>
        </w:rPr>
        <w:t>. See</w:t>
      </w:r>
      <w:r>
        <w:rPr>
          <w:sz w:val="24"/>
          <w:szCs w:val="24"/>
        </w:rPr>
        <w:t>:</w:t>
      </w:r>
      <w:r w:rsidRPr="00050F4F">
        <w:rPr>
          <w:sz w:val="24"/>
          <w:szCs w:val="24"/>
        </w:rPr>
        <w:t xml:space="preserve"> </w:t>
      </w:r>
      <w:hyperlink r:id="rId3" w:history="1">
        <w:r w:rsidRPr="00050F4F">
          <w:rPr>
            <w:rStyle w:val="Hyperlink"/>
            <w:sz w:val="24"/>
            <w:szCs w:val="24"/>
          </w:rPr>
          <w:t>http://www.nesri.org/human-rights/economic-and-social-rights</w:t>
        </w:r>
      </w:hyperlink>
      <w:r w:rsidRPr="00050F4F">
        <w:rPr>
          <w:sz w:val="24"/>
          <w:szCs w:val="24"/>
        </w:rPr>
        <w:t>.</w:t>
      </w:r>
    </w:p>
  </w:endnote>
  <w:endnote w:id="10">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This is evident in how one of the most popular indicators of political regimes, the Polity IV project, codes countries on one of their authority characteristics, executive constraints. See Polity IV Project: Political Regimes Characteristics and Transitions, 1800-2010 Dataset Users’ Manual, page 25</w:t>
      </w:r>
      <w:r>
        <w:rPr>
          <w:sz w:val="24"/>
          <w:szCs w:val="24"/>
        </w:rPr>
        <w:t>;</w:t>
      </w:r>
      <w:r w:rsidRPr="00050F4F">
        <w:rPr>
          <w:sz w:val="24"/>
          <w:szCs w:val="24"/>
        </w:rPr>
        <w:t xml:space="preserve"> available at</w:t>
      </w:r>
      <w:r>
        <w:rPr>
          <w:sz w:val="24"/>
          <w:szCs w:val="24"/>
        </w:rPr>
        <w:t>:</w:t>
      </w:r>
      <w:r w:rsidRPr="00050F4F">
        <w:rPr>
          <w:sz w:val="24"/>
          <w:szCs w:val="24"/>
        </w:rPr>
        <w:t xml:space="preserve"> </w:t>
      </w:r>
      <w:hyperlink r:id="rId4" w:history="1">
        <w:r w:rsidRPr="00050F4F">
          <w:rPr>
            <w:rStyle w:val="Hyperlink"/>
            <w:sz w:val="24"/>
            <w:szCs w:val="24"/>
          </w:rPr>
          <w:t>http://www.systemicpeace.org/inscr/p4manualv2010.pdf</w:t>
        </w:r>
      </w:hyperlink>
      <w:r w:rsidRPr="00050F4F">
        <w:rPr>
          <w:sz w:val="24"/>
          <w:szCs w:val="24"/>
        </w:rPr>
        <w:t>.</w:t>
      </w:r>
    </w:p>
  </w:endnote>
  <w:endnote w:id="11">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Other terms used to describe this phenomenon are hyper-</w:t>
      </w:r>
      <w:proofErr w:type="spellStart"/>
      <w:r w:rsidRPr="00050F4F">
        <w:rPr>
          <w:sz w:val="24"/>
          <w:szCs w:val="24"/>
        </w:rPr>
        <w:t>presidentialism</w:t>
      </w:r>
      <w:proofErr w:type="spellEnd"/>
      <w:r w:rsidRPr="00050F4F">
        <w:rPr>
          <w:sz w:val="24"/>
          <w:szCs w:val="24"/>
        </w:rPr>
        <w:t xml:space="preserve"> and “</w:t>
      </w:r>
      <w:proofErr w:type="spellStart"/>
      <w:r w:rsidRPr="00050F4F">
        <w:rPr>
          <w:sz w:val="24"/>
          <w:szCs w:val="24"/>
        </w:rPr>
        <w:t>caesarism</w:t>
      </w:r>
      <w:proofErr w:type="spellEnd"/>
      <w:r w:rsidRPr="00050F4F">
        <w:rPr>
          <w:sz w:val="24"/>
          <w:szCs w:val="24"/>
        </w:rPr>
        <w:t>” (Casper 2007).</w:t>
      </w:r>
    </w:p>
  </w:endnote>
  <w:endnote w:id="12">
    <w:p w:rsidR="000A2CF4" w:rsidRDefault="000A2CF4">
      <w:pPr>
        <w:pStyle w:val="EndnoteText"/>
        <w:spacing w:line="480" w:lineRule="auto"/>
        <w:rPr>
          <w:sz w:val="24"/>
          <w:szCs w:val="24"/>
        </w:rPr>
      </w:pPr>
      <w:r w:rsidRPr="00AF00F6">
        <w:rPr>
          <w:rStyle w:val="EndnoteReference"/>
          <w:sz w:val="24"/>
          <w:szCs w:val="24"/>
        </w:rPr>
        <w:endnoteRef/>
      </w:r>
      <w:r w:rsidRPr="00AF00F6">
        <w:rPr>
          <w:sz w:val="24"/>
          <w:szCs w:val="24"/>
        </w:rPr>
        <w:t xml:space="preserve"> Since we are only dealing with democracies that remain constitutionally intact (which excludes non-democracies and episodes of regime change), rebellion is not so relevant a behavior except when it overlaps with social protest.</w:t>
      </w:r>
      <w:r w:rsidRPr="008853CF">
        <w:rPr>
          <w:sz w:val="24"/>
          <w:szCs w:val="24"/>
        </w:rPr>
        <w:t xml:space="preserve"> </w:t>
      </w:r>
      <w:r>
        <w:rPr>
          <w:sz w:val="24"/>
          <w:szCs w:val="24"/>
        </w:rPr>
        <w:t>Nonviolent rebellions, scholars have found, tend to be more successful than violent ones</w:t>
      </w:r>
      <w:r w:rsidRPr="001C1346">
        <w:rPr>
          <w:sz w:val="24"/>
          <w:szCs w:val="24"/>
        </w:rPr>
        <w:t xml:space="preserve"> (Stephan and Chenoweth 2008).</w:t>
      </w:r>
    </w:p>
  </w:endnote>
  <w:endnote w:id="13">
    <w:p w:rsidR="000A2CF4" w:rsidRPr="00050F4F" w:rsidRDefault="000A2CF4" w:rsidP="005A30EA">
      <w:pPr>
        <w:pStyle w:val="EndnoteText"/>
        <w:spacing w:line="480" w:lineRule="auto"/>
        <w:rPr>
          <w:sz w:val="24"/>
          <w:szCs w:val="24"/>
        </w:rPr>
      </w:pPr>
      <w:r w:rsidRPr="00050F4F">
        <w:rPr>
          <w:rStyle w:val="EndnoteReference"/>
          <w:sz w:val="24"/>
          <w:szCs w:val="24"/>
        </w:rPr>
        <w:endnoteRef/>
      </w:r>
      <w:r>
        <w:rPr>
          <w:sz w:val="24"/>
          <w:szCs w:val="24"/>
        </w:rPr>
        <w:t xml:space="preserve"> See:</w:t>
      </w:r>
      <w:r w:rsidRPr="00050F4F">
        <w:rPr>
          <w:sz w:val="24"/>
          <w:szCs w:val="24"/>
        </w:rPr>
        <w:t xml:space="preserve"> </w:t>
      </w:r>
      <w:hyperlink r:id="rId5" w:history="1">
        <w:r w:rsidRPr="00050F4F">
          <w:rPr>
            <w:rStyle w:val="Hyperlink"/>
            <w:sz w:val="24"/>
            <w:szCs w:val="24"/>
          </w:rPr>
          <w:t>http://www.databanksinternational.com/</w:t>
        </w:r>
      </w:hyperlink>
    </w:p>
  </w:endnote>
  <w:endnote w:id="14">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For precise definitions of these variables, see</w:t>
      </w:r>
      <w:r>
        <w:rPr>
          <w:sz w:val="24"/>
          <w:szCs w:val="24"/>
        </w:rPr>
        <w:t>:</w:t>
      </w:r>
      <w:r w:rsidRPr="00050F4F">
        <w:rPr>
          <w:sz w:val="24"/>
          <w:szCs w:val="24"/>
        </w:rPr>
        <w:t xml:space="preserve"> </w:t>
      </w:r>
      <w:hyperlink r:id="rId6" w:history="1">
        <w:r w:rsidRPr="00050F4F">
          <w:rPr>
            <w:rStyle w:val="Hyperlink"/>
            <w:sz w:val="24"/>
            <w:szCs w:val="24"/>
          </w:rPr>
          <w:t>http://dss.princeton.edu/access_data/codebooks/banks.pdf</w:t>
        </w:r>
      </w:hyperlink>
      <w:r w:rsidRPr="00050F4F">
        <w:rPr>
          <w:sz w:val="24"/>
          <w:szCs w:val="24"/>
        </w:rPr>
        <w:t xml:space="preserve">. </w:t>
      </w:r>
    </w:p>
  </w:endnote>
  <w:endnote w:id="15">
    <w:p w:rsidR="000A2CF4" w:rsidRPr="000900A4" w:rsidRDefault="000A2CF4" w:rsidP="00FF23D1">
      <w:pPr>
        <w:pStyle w:val="EndnoteText"/>
        <w:spacing w:line="480" w:lineRule="auto"/>
        <w:rPr>
          <w:sz w:val="24"/>
          <w:szCs w:val="24"/>
        </w:rPr>
      </w:pPr>
      <w:r w:rsidRPr="000900A4">
        <w:rPr>
          <w:rStyle w:val="EndnoteReference"/>
          <w:sz w:val="24"/>
          <w:szCs w:val="24"/>
        </w:rPr>
        <w:endnoteRef/>
      </w:r>
      <w:r w:rsidRPr="000900A4">
        <w:rPr>
          <w:sz w:val="24"/>
          <w:szCs w:val="24"/>
        </w:rPr>
        <w:t xml:space="preserve"> I thank </w:t>
      </w:r>
      <w:r w:rsidR="0072161A">
        <w:rPr>
          <w:sz w:val="24"/>
          <w:szCs w:val="24"/>
        </w:rPr>
        <w:t xml:space="preserve">Desmond King </w:t>
      </w:r>
      <w:r w:rsidRPr="000900A4">
        <w:rPr>
          <w:sz w:val="24"/>
          <w:szCs w:val="24"/>
        </w:rPr>
        <w:t xml:space="preserve">for bringing this point to my attention. </w:t>
      </w:r>
      <w:r w:rsidRPr="00524807">
        <w:rPr>
          <w:sz w:val="24"/>
          <w:szCs w:val="24"/>
        </w:rPr>
        <w:t xml:space="preserve">The source for annual counts of strikes and lockouts per country is the International </w:t>
      </w:r>
      <w:proofErr w:type="spellStart"/>
      <w:r w:rsidRPr="00524807">
        <w:rPr>
          <w:sz w:val="24"/>
          <w:szCs w:val="24"/>
        </w:rPr>
        <w:t>Labour</w:t>
      </w:r>
      <w:proofErr w:type="spellEnd"/>
      <w:r w:rsidRPr="00524807">
        <w:rPr>
          <w:sz w:val="24"/>
          <w:szCs w:val="24"/>
        </w:rPr>
        <w:t xml:space="preserve"> </w:t>
      </w:r>
      <w:proofErr w:type="spellStart"/>
      <w:r w:rsidRPr="00524807">
        <w:rPr>
          <w:sz w:val="24"/>
          <w:szCs w:val="24"/>
        </w:rPr>
        <w:t>Organisation’s</w:t>
      </w:r>
      <w:proofErr w:type="spellEnd"/>
      <w:r w:rsidRPr="00524807">
        <w:rPr>
          <w:sz w:val="24"/>
          <w:szCs w:val="24"/>
        </w:rPr>
        <w:t xml:space="preserve"> LABORSTA dataset, which can be accessed at </w:t>
      </w:r>
      <w:r w:rsidRPr="000900A4">
        <w:rPr>
          <w:sz w:val="24"/>
          <w:szCs w:val="24"/>
        </w:rPr>
        <w:t>http://laborsta.ilo.org/.</w:t>
      </w:r>
    </w:p>
  </w:endnote>
  <w:endnote w:id="16">
    <w:p w:rsidR="000A2CF4" w:rsidRPr="009B05DF" w:rsidRDefault="000A2CF4" w:rsidP="009B05DF">
      <w:pPr>
        <w:pStyle w:val="EndnoteText"/>
        <w:spacing w:line="480" w:lineRule="auto"/>
        <w:rPr>
          <w:sz w:val="24"/>
          <w:szCs w:val="24"/>
        </w:rPr>
      </w:pPr>
      <w:r w:rsidRPr="009B05DF">
        <w:rPr>
          <w:rStyle w:val="EndnoteReference"/>
          <w:sz w:val="24"/>
          <w:szCs w:val="24"/>
        </w:rPr>
        <w:endnoteRef/>
      </w:r>
      <w:r w:rsidRPr="009B05DF">
        <w:rPr>
          <w:sz w:val="24"/>
          <w:szCs w:val="24"/>
        </w:rPr>
        <w:t xml:space="preserve"> </w:t>
      </w:r>
      <w:r>
        <w:rPr>
          <w:sz w:val="24"/>
          <w:szCs w:val="24"/>
        </w:rPr>
        <w:t>Annual counts of s</w:t>
      </w:r>
      <w:r w:rsidRPr="009B05DF">
        <w:rPr>
          <w:sz w:val="24"/>
          <w:szCs w:val="24"/>
        </w:rPr>
        <w:t xml:space="preserve">trikes and lockouts </w:t>
      </w:r>
      <w:r>
        <w:rPr>
          <w:sz w:val="24"/>
          <w:szCs w:val="24"/>
        </w:rPr>
        <w:t>are based not on news media accounts, but on reports by each country’s labor ministry or other statistical agency.</w:t>
      </w:r>
    </w:p>
  </w:endnote>
  <w:endnote w:id="17">
    <w:p w:rsidR="000A2CF4" w:rsidRPr="0087487F" w:rsidRDefault="000A2CF4" w:rsidP="0087487F">
      <w:pPr>
        <w:pStyle w:val="EndnoteText"/>
        <w:spacing w:line="480" w:lineRule="auto"/>
        <w:rPr>
          <w:sz w:val="24"/>
          <w:szCs w:val="24"/>
        </w:rPr>
      </w:pPr>
      <w:r w:rsidRPr="0087487F">
        <w:rPr>
          <w:rStyle w:val="EndnoteReference"/>
          <w:sz w:val="24"/>
          <w:szCs w:val="24"/>
        </w:rPr>
        <w:endnoteRef/>
      </w:r>
      <w:r w:rsidRPr="0087487F">
        <w:rPr>
          <w:sz w:val="24"/>
          <w:szCs w:val="24"/>
        </w:rPr>
        <w:t xml:space="preserve"> </w:t>
      </w:r>
      <w:r>
        <w:rPr>
          <w:sz w:val="24"/>
          <w:szCs w:val="24"/>
        </w:rPr>
        <w:t xml:space="preserve">Political opportunity “structures” and their effects tend to be considered in the aggregate, not individually. I thank John </w:t>
      </w:r>
      <w:proofErr w:type="spellStart"/>
      <w:r>
        <w:rPr>
          <w:sz w:val="24"/>
          <w:szCs w:val="24"/>
        </w:rPr>
        <w:t>Krinsky</w:t>
      </w:r>
      <w:proofErr w:type="spellEnd"/>
      <w:r>
        <w:rPr>
          <w:sz w:val="24"/>
          <w:szCs w:val="24"/>
        </w:rPr>
        <w:t xml:space="preserve"> for this point. </w:t>
      </w:r>
    </w:p>
  </w:endnote>
  <w:endnote w:id="18">
    <w:p w:rsidR="000A2CF4" w:rsidRPr="00050F4F" w:rsidRDefault="000A2CF4" w:rsidP="00AF7A3C">
      <w:pPr>
        <w:pStyle w:val="EndnoteText"/>
        <w:spacing w:line="480" w:lineRule="auto"/>
        <w:rPr>
          <w:sz w:val="24"/>
          <w:szCs w:val="24"/>
        </w:rPr>
      </w:pPr>
      <w:r w:rsidRPr="00050F4F">
        <w:rPr>
          <w:rStyle w:val="EndnoteReference"/>
          <w:sz w:val="24"/>
          <w:szCs w:val="24"/>
        </w:rPr>
        <w:endnoteRef/>
      </w:r>
      <w:r w:rsidRPr="00050F4F">
        <w:rPr>
          <w:sz w:val="24"/>
          <w:szCs w:val="24"/>
        </w:rPr>
        <w:t xml:space="preserve"> More precisely, the index is calculated using the number of independent branches of government with veto power over policy change combined with measures of heterogeneity in party composition within the legislative and executive branches and congruence in party control across branches. A veto player is an individual, party, or political institution that can stop a change in policy from the status quo. See </w:t>
      </w:r>
      <w:proofErr w:type="spellStart"/>
      <w:r w:rsidRPr="00050F4F">
        <w:rPr>
          <w:color w:val="000000"/>
          <w:sz w:val="24"/>
          <w:szCs w:val="24"/>
        </w:rPr>
        <w:t>Henisz</w:t>
      </w:r>
      <w:proofErr w:type="spellEnd"/>
      <w:r w:rsidRPr="00050F4F">
        <w:rPr>
          <w:color w:val="000000"/>
          <w:sz w:val="24"/>
          <w:szCs w:val="24"/>
        </w:rPr>
        <w:t xml:space="preserve"> and </w:t>
      </w:r>
      <w:proofErr w:type="spellStart"/>
      <w:r w:rsidRPr="00050F4F">
        <w:rPr>
          <w:color w:val="000000"/>
          <w:sz w:val="24"/>
          <w:szCs w:val="24"/>
        </w:rPr>
        <w:t>Zelner</w:t>
      </w:r>
      <w:proofErr w:type="spellEnd"/>
      <w:r w:rsidRPr="00050F4F">
        <w:rPr>
          <w:sz w:val="24"/>
          <w:szCs w:val="24"/>
        </w:rPr>
        <w:t xml:space="preserve"> (2010) for a more in depth discussion of this index. One of these veto players, the legislature, has been identified as a crucial </w:t>
      </w:r>
      <w:proofErr w:type="spellStart"/>
      <w:r w:rsidRPr="00050F4F">
        <w:rPr>
          <w:sz w:val="24"/>
          <w:szCs w:val="24"/>
        </w:rPr>
        <w:t>explanator</w:t>
      </w:r>
      <w:proofErr w:type="spellEnd"/>
      <w:r w:rsidRPr="00050F4F">
        <w:rPr>
          <w:sz w:val="24"/>
          <w:szCs w:val="24"/>
        </w:rPr>
        <w:t xml:space="preserve"> of cross-national variation in protest across Western European democracies (Nam 2007). According to </w:t>
      </w:r>
      <w:proofErr w:type="spellStart"/>
      <w:r w:rsidRPr="00050F4F">
        <w:rPr>
          <w:sz w:val="24"/>
          <w:szCs w:val="24"/>
        </w:rPr>
        <w:t>Kitschelt</w:t>
      </w:r>
      <w:proofErr w:type="spellEnd"/>
      <w:r w:rsidRPr="00050F4F">
        <w:rPr>
          <w:sz w:val="24"/>
          <w:szCs w:val="24"/>
        </w:rPr>
        <w:t xml:space="preserve"> (1986: 63), “the capacity of legislatures to develop and control policies independently of the executive” is a critical measure of its power. Since a weak legislature is unable to act as </w:t>
      </w:r>
      <w:r>
        <w:rPr>
          <w:sz w:val="24"/>
          <w:szCs w:val="24"/>
        </w:rPr>
        <w:t>a</w:t>
      </w:r>
      <w:r w:rsidRPr="00050F4F">
        <w:rPr>
          <w:sz w:val="24"/>
          <w:szCs w:val="24"/>
        </w:rPr>
        <w:t>n intermediary between citizens and the government, dissidents in countries with a weak legislature cannot easily expect access to the government for the purposes of making their demands. Therefore, they are more inclined to protest than citizens in countri</w:t>
      </w:r>
      <w:r>
        <w:rPr>
          <w:sz w:val="24"/>
          <w:szCs w:val="24"/>
        </w:rPr>
        <w:t xml:space="preserve">es </w:t>
      </w:r>
      <w:r w:rsidRPr="00050F4F">
        <w:rPr>
          <w:sz w:val="24"/>
          <w:szCs w:val="24"/>
        </w:rPr>
        <w:t xml:space="preserve">with a strong legislature. Although sympathetic to this view, it is important to remember that the power of </w:t>
      </w:r>
      <w:proofErr w:type="gramStart"/>
      <w:r w:rsidRPr="00050F4F">
        <w:rPr>
          <w:sz w:val="24"/>
          <w:szCs w:val="24"/>
        </w:rPr>
        <w:t>legislatures</w:t>
      </w:r>
      <w:proofErr w:type="gramEnd"/>
      <w:r w:rsidRPr="00050F4F">
        <w:rPr>
          <w:sz w:val="24"/>
          <w:szCs w:val="24"/>
        </w:rPr>
        <w:t xml:space="preserve"> vis-à-vis executives and their role in motivating social protests cannot be divorced from the larger question of the effect of executive constraints on the quality of democracy. Furthermore, since executive constraints are correlated with policy nonalignment among and within the different branches of government, I use the latter to try to explain variation in the former.</w:t>
      </w:r>
    </w:p>
  </w:endnote>
  <w:endnote w:id="19">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My data on voting age populations comes from the International Institute for Democracy and Electoral Assistance (IDEA 2012)</w:t>
      </w:r>
      <w:r>
        <w:rPr>
          <w:sz w:val="24"/>
          <w:szCs w:val="24"/>
        </w:rPr>
        <w:t>; available at:</w:t>
      </w:r>
      <w:r w:rsidRPr="00050F4F">
        <w:rPr>
          <w:sz w:val="24"/>
          <w:szCs w:val="24"/>
        </w:rPr>
        <w:t xml:space="preserve"> </w:t>
      </w:r>
      <w:hyperlink r:id="rId7" w:history="1">
        <w:r w:rsidRPr="00050F4F">
          <w:rPr>
            <w:rStyle w:val="Hyperlink"/>
            <w:sz w:val="24"/>
            <w:szCs w:val="24"/>
          </w:rPr>
          <w:t>http://www.idea.int/vt/</w:t>
        </w:r>
      </w:hyperlink>
      <w:r w:rsidRPr="00050F4F">
        <w:rPr>
          <w:sz w:val="24"/>
          <w:szCs w:val="24"/>
        </w:rPr>
        <w:t xml:space="preserve">. In the interest of saving space, I do not include definitions of the other thirteen variables. For descriptions of the remaining variables, see </w:t>
      </w:r>
      <w:proofErr w:type="spellStart"/>
      <w:r w:rsidRPr="00050F4F">
        <w:rPr>
          <w:sz w:val="24"/>
          <w:szCs w:val="24"/>
        </w:rPr>
        <w:t>Coppedge</w:t>
      </w:r>
      <w:proofErr w:type="spellEnd"/>
      <w:r w:rsidRPr="00050F4F">
        <w:rPr>
          <w:sz w:val="24"/>
          <w:szCs w:val="24"/>
        </w:rPr>
        <w:t xml:space="preserve"> et al. (2008).</w:t>
      </w:r>
    </w:p>
  </w:endnote>
  <w:endnote w:id="20">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See </w:t>
      </w:r>
      <w:proofErr w:type="spellStart"/>
      <w:r w:rsidRPr="00050F4F">
        <w:rPr>
          <w:sz w:val="24"/>
          <w:szCs w:val="24"/>
        </w:rPr>
        <w:t>Cingranelli</w:t>
      </w:r>
      <w:proofErr w:type="spellEnd"/>
      <w:r w:rsidRPr="00050F4F">
        <w:rPr>
          <w:sz w:val="24"/>
          <w:szCs w:val="24"/>
        </w:rPr>
        <w:t xml:space="preserve"> and Richards’ (2010) Human Rights Data Project. Freedom House’ indices of political rights and civil liberties are also very highly inter-correlated, causing problems if introduced in the same model simultaneously (</w:t>
      </w:r>
      <w:proofErr w:type="spellStart"/>
      <w:r w:rsidRPr="00050F4F">
        <w:rPr>
          <w:sz w:val="24"/>
          <w:szCs w:val="24"/>
        </w:rPr>
        <w:t>Coppedge</w:t>
      </w:r>
      <w:proofErr w:type="spellEnd"/>
      <w:r w:rsidRPr="00050F4F">
        <w:rPr>
          <w:sz w:val="24"/>
          <w:szCs w:val="24"/>
        </w:rPr>
        <w:t xml:space="preserve"> et al. 2008, 632).</w:t>
      </w:r>
    </w:p>
  </w:endnote>
  <w:endnote w:id="21">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w:t>
      </w:r>
      <w:proofErr w:type="spellStart"/>
      <w:r w:rsidRPr="00050F4F">
        <w:rPr>
          <w:sz w:val="24"/>
          <w:szCs w:val="24"/>
        </w:rPr>
        <w:t>Coppedge</w:t>
      </w:r>
      <w:proofErr w:type="spellEnd"/>
      <w:r w:rsidRPr="00050F4F">
        <w:rPr>
          <w:sz w:val="24"/>
          <w:szCs w:val="24"/>
        </w:rPr>
        <w:t xml:space="preserve"> et al. </w:t>
      </w:r>
      <w:r>
        <w:rPr>
          <w:sz w:val="24"/>
          <w:szCs w:val="24"/>
        </w:rPr>
        <w:t>(</w:t>
      </w:r>
      <w:r w:rsidRPr="00050F4F">
        <w:rPr>
          <w:sz w:val="24"/>
          <w:szCs w:val="24"/>
        </w:rPr>
        <w:t>2008</w:t>
      </w:r>
      <w:r>
        <w:rPr>
          <w:sz w:val="24"/>
          <w:szCs w:val="24"/>
        </w:rPr>
        <w:t>)</w:t>
      </w:r>
      <w:r w:rsidRPr="00050F4F">
        <w:rPr>
          <w:sz w:val="24"/>
          <w:szCs w:val="24"/>
        </w:rPr>
        <w:t xml:space="preserve"> label their first factor, which resembles factor 2 in my analysis, “Contestation</w:t>
      </w:r>
      <w:r>
        <w:rPr>
          <w:sz w:val="24"/>
          <w:szCs w:val="24"/>
        </w:rPr>
        <w:t>.</w:t>
      </w:r>
      <w:r w:rsidRPr="00050F4F">
        <w:rPr>
          <w:sz w:val="24"/>
          <w:szCs w:val="24"/>
        </w:rPr>
        <w:t xml:space="preserve">” Although the competitive aspect is common to both, </w:t>
      </w:r>
      <w:r w:rsidRPr="00050F4F">
        <w:rPr>
          <w:i/>
          <w:sz w:val="24"/>
          <w:szCs w:val="24"/>
        </w:rPr>
        <w:t>Political Competition</w:t>
      </w:r>
      <w:r w:rsidRPr="00050F4F">
        <w:rPr>
          <w:sz w:val="24"/>
          <w:szCs w:val="24"/>
        </w:rPr>
        <w:t xml:space="preserve"> differs from “Contestation” in that the </w:t>
      </w:r>
      <w:r>
        <w:rPr>
          <w:sz w:val="24"/>
          <w:szCs w:val="24"/>
        </w:rPr>
        <w:t>latter</w:t>
      </w:r>
      <w:r w:rsidRPr="00050F4F">
        <w:rPr>
          <w:sz w:val="24"/>
          <w:szCs w:val="24"/>
        </w:rPr>
        <w:t xml:space="preserve"> also includes the civil and political rights that are thought to make democracies competitive political regimes. In my analysis, these rights cohere separately in a third dimension or factor.</w:t>
      </w:r>
    </w:p>
  </w:endnote>
  <w:endnote w:id="22">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The political rights index is negatively signed because higher values imply fewer rights. </w:t>
      </w:r>
    </w:p>
  </w:endnote>
  <w:endnote w:id="23">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Surprisingly, out of the 730 country-year observations in my dataset, 83 belong to countries that do not provide the most minimal protection for workers’ rights according to </w:t>
      </w:r>
      <w:proofErr w:type="spellStart"/>
      <w:r w:rsidRPr="00050F4F">
        <w:rPr>
          <w:sz w:val="24"/>
          <w:szCs w:val="24"/>
        </w:rPr>
        <w:t>Cingranelli</w:t>
      </w:r>
      <w:proofErr w:type="spellEnd"/>
      <w:r w:rsidRPr="00050F4F">
        <w:rPr>
          <w:sz w:val="24"/>
          <w:szCs w:val="24"/>
        </w:rPr>
        <w:t xml:space="preserve"> and Richards’ (2010) coding.</w:t>
      </w:r>
    </w:p>
  </w:endnote>
  <w:endnote w:id="24">
    <w:p w:rsidR="000A2CF4" w:rsidRDefault="000A2CF4">
      <w:pPr>
        <w:pStyle w:val="EndnoteText"/>
        <w:spacing w:line="480" w:lineRule="auto"/>
        <w:rPr>
          <w:sz w:val="24"/>
          <w:szCs w:val="24"/>
        </w:rPr>
      </w:pPr>
      <w:r w:rsidRPr="009F2859">
        <w:rPr>
          <w:rStyle w:val="EndnoteReference"/>
          <w:sz w:val="24"/>
          <w:szCs w:val="24"/>
        </w:rPr>
        <w:endnoteRef/>
      </w:r>
      <w:r w:rsidRPr="009F2859">
        <w:rPr>
          <w:sz w:val="24"/>
          <w:szCs w:val="24"/>
        </w:rPr>
        <w:t xml:space="preserve"> </w:t>
      </w:r>
      <w:proofErr w:type="spellStart"/>
      <w:r w:rsidRPr="009F2859">
        <w:rPr>
          <w:sz w:val="24"/>
          <w:szCs w:val="24"/>
        </w:rPr>
        <w:t>Kapstein</w:t>
      </w:r>
      <w:proofErr w:type="spellEnd"/>
      <w:r w:rsidRPr="009F2859">
        <w:rPr>
          <w:sz w:val="24"/>
          <w:szCs w:val="24"/>
        </w:rPr>
        <w:t xml:space="preserve"> and Converse (2008, 56) similarly draw a distinction between countries with weak constraints on </w:t>
      </w:r>
      <w:r>
        <w:rPr>
          <w:sz w:val="24"/>
          <w:szCs w:val="24"/>
        </w:rPr>
        <w:t>executive power</w:t>
      </w:r>
      <w:r w:rsidRPr="009F2859">
        <w:rPr>
          <w:sz w:val="24"/>
          <w:szCs w:val="24"/>
        </w:rPr>
        <w:t xml:space="preserve"> (</w:t>
      </w:r>
      <w:r>
        <w:rPr>
          <w:sz w:val="24"/>
          <w:szCs w:val="24"/>
        </w:rPr>
        <w:t>a</w:t>
      </w:r>
      <w:r w:rsidRPr="009F2859">
        <w:rPr>
          <w:sz w:val="24"/>
          <w:szCs w:val="24"/>
        </w:rPr>
        <w:t xml:space="preserve"> value less than </w:t>
      </w:r>
      <w:r>
        <w:rPr>
          <w:sz w:val="24"/>
          <w:szCs w:val="24"/>
        </w:rPr>
        <w:t>5</w:t>
      </w:r>
      <w:r w:rsidRPr="009F2859">
        <w:rPr>
          <w:sz w:val="24"/>
          <w:szCs w:val="24"/>
        </w:rPr>
        <w:t xml:space="preserve">) and those with strong constraints on </w:t>
      </w:r>
      <w:r>
        <w:rPr>
          <w:sz w:val="24"/>
          <w:szCs w:val="24"/>
        </w:rPr>
        <w:t>the executive (a value of 5 or greater)</w:t>
      </w:r>
      <w:r w:rsidRPr="009F2859">
        <w:rPr>
          <w:sz w:val="24"/>
          <w:szCs w:val="24"/>
        </w:rPr>
        <w:t xml:space="preserve">. </w:t>
      </w:r>
    </w:p>
  </w:endnote>
  <w:endnote w:id="25">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Since the models include many stock variables, most of the variation they explain is cross-sectional rather than time-series.</w:t>
      </w:r>
    </w:p>
  </w:endnote>
  <w:endnote w:id="26">
    <w:p w:rsidR="000A2CF4" w:rsidRPr="00050F4F" w:rsidRDefault="000A2CF4" w:rsidP="00050F4F">
      <w:pPr>
        <w:pStyle w:val="EndnoteText"/>
        <w:spacing w:line="480" w:lineRule="auto"/>
        <w:rPr>
          <w:sz w:val="24"/>
          <w:szCs w:val="24"/>
        </w:rPr>
      </w:pPr>
      <w:r w:rsidRPr="00050F4F">
        <w:rPr>
          <w:rStyle w:val="EndnoteReference"/>
          <w:sz w:val="24"/>
          <w:szCs w:val="24"/>
        </w:rPr>
        <w:endnoteRef/>
      </w:r>
      <w:r w:rsidRPr="00050F4F">
        <w:rPr>
          <w:sz w:val="24"/>
          <w:szCs w:val="24"/>
        </w:rPr>
        <w:t xml:space="preserve"> </w:t>
      </w:r>
      <w:r>
        <w:rPr>
          <w:sz w:val="24"/>
          <w:szCs w:val="24"/>
        </w:rPr>
        <w:t xml:space="preserve">See: </w:t>
      </w:r>
      <w:hyperlink r:id="rId8" w:history="1">
        <w:r w:rsidRPr="00050F4F">
          <w:rPr>
            <w:rStyle w:val="Hyperlink"/>
            <w:sz w:val="24"/>
            <w:szCs w:val="24"/>
          </w:rPr>
          <w:t>http://globalization.kof.ethz.ch/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F4" w:rsidRPr="00FF34FC" w:rsidRDefault="000A2CF4" w:rsidP="00FF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F4" w:rsidRDefault="000A2CF4" w:rsidP="00232F26">
      <w:r>
        <w:separator/>
      </w:r>
    </w:p>
  </w:footnote>
  <w:footnote w:type="continuationSeparator" w:id="0">
    <w:p w:rsidR="000A2CF4" w:rsidRDefault="000A2CF4" w:rsidP="0023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F4" w:rsidRPr="00FF34FC" w:rsidRDefault="000A2CF4" w:rsidP="00FF3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26"/>
    <w:rsid w:val="00001F62"/>
    <w:rsid w:val="0000742B"/>
    <w:rsid w:val="000109AB"/>
    <w:rsid w:val="00017295"/>
    <w:rsid w:val="000208F3"/>
    <w:rsid w:val="00020C27"/>
    <w:rsid w:val="000217BF"/>
    <w:rsid w:val="00030649"/>
    <w:rsid w:val="00031FCB"/>
    <w:rsid w:val="0004327C"/>
    <w:rsid w:val="00043719"/>
    <w:rsid w:val="00043907"/>
    <w:rsid w:val="00044D69"/>
    <w:rsid w:val="0004714E"/>
    <w:rsid w:val="00050F4F"/>
    <w:rsid w:val="00051D3D"/>
    <w:rsid w:val="000541A3"/>
    <w:rsid w:val="00054C7E"/>
    <w:rsid w:val="00055DC2"/>
    <w:rsid w:val="00056C53"/>
    <w:rsid w:val="000577D6"/>
    <w:rsid w:val="000649B1"/>
    <w:rsid w:val="00065BD8"/>
    <w:rsid w:val="00065ECC"/>
    <w:rsid w:val="000672E2"/>
    <w:rsid w:val="000707EA"/>
    <w:rsid w:val="0008290B"/>
    <w:rsid w:val="000857E3"/>
    <w:rsid w:val="0008771D"/>
    <w:rsid w:val="00087844"/>
    <w:rsid w:val="00090087"/>
    <w:rsid w:val="000900A4"/>
    <w:rsid w:val="000932B5"/>
    <w:rsid w:val="00093412"/>
    <w:rsid w:val="00093A0F"/>
    <w:rsid w:val="00094156"/>
    <w:rsid w:val="000941E9"/>
    <w:rsid w:val="000950E6"/>
    <w:rsid w:val="00095794"/>
    <w:rsid w:val="00096238"/>
    <w:rsid w:val="00097464"/>
    <w:rsid w:val="000A1C82"/>
    <w:rsid w:val="000A2CF4"/>
    <w:rsid w:val="000A3653"/>
    <w:rsid w:val="000A7398"/>
    <w:rsid w:val="000B5D15"/>
    <w:rsid w:val="000C12D7"/>
    <w:rsid w:val="000C3504"/>
    <w:rsid w:val="000C41D2"/>
    <w:rsid w:val="000C47FF"/>
    <w:rsid w:val="000C68A2"/>
    <w:rsid w:val="000D0166"/>
    <w:rsid w:val="000D01B2"/>
    <w:rsid w:val="000D178F"/>
    <w:rsid w:val="000D29FA"/>
    <w:rsid w:val="000D64B6"/>
    <w:rsid w:val="000E4E07"/>
    <w:rsid w:val="000E70E2"/>
    <w:rsid w:val="000F13A1"/>
    <w:rsid w:val="000F45AE"/>
    <w:rsid w:val="00101626"/>
    <w:rsid w:val="001019E3"/>
    <w:rsid w:val="00102601"/>
    <w:rsid w:val="00105185"/>
    <w:rsid w:val="001059E4"/>
    <w:rsid w:val="00111CD6"/>
    <w:rsid w:val="001123DD"/>
    <w:rsid w:val="00117EB1"/>
    <w:rsid w:val="00122B3B"/>
    <w:rsid w:val="0013146B"/>
    <w:rsid w:val="00132D08"/>
    <w:rsid w:val="001330BA"/>
    <w:rsid w:val="00133633"/>
    <w:rsid w:val="00134E08"/>
    <w:rsid w:val="0014233F"/>
    <w:rsid w:val="00142F88"/>
    <w:rsid w:val="00143EFD"/>
    <w:rsid w:val="00146767"/>
    <w:rsid w:val="00151740"/>
    <w:rsid w:val="0015299C"/>
    <w:rsid w:val="00155031"/>
    <w:rsid w:val="00155DCF"/>
    <w:rsid w:val="00156D5E"/>
    <w:rsid w:val="00180763"/>
    <w:rsid w:val="00181BCA"/>
    <w:rsid w:val="001866B4"/>
    <w:rsid w:val="00186A3A"/>
    <w:rsid w:val="0019066E"/>
    <w:rsid w:val="00197F74"/>
    <w:rsid w:val="001A0DB0"/>
    <w:rsid w:val="001A22F9"/>
    <w:rsid w:val="001A2FAD"/>
    <w:rsid w:val="001B277C"/>
    <w:rsid w:val="001C1346"/>
    <w:rsid w:val="001C2F6D"/>
    <w:rsid w:val="001C581B"/>
    <w:rsid w:val="001D1DA2"/>
    <w:rsid w:val="001D35A1"/>
    <w:rsid w:val="001D6089"/>
    <w:rsid w:val="001E7011"/>
    <w:rsid w:val="001E7757"/>
    <w:rsid w:val="001F2CE3"/>
    <w:rsid w:val="001F39D4"/>
    <w:rsid w:val="001F73E1"/>
    <w:rsid w:val="001F7E6D"/>
    <w:rsid w:val="00200C24"/>
    <w:rsid w:val="002016E8"/>
    <w:rsid w:val="0020359D"/>
    <w:rsid w:val="0020401F"/>
    <w:rsid w:val="00204282"/>
    <w:rsid w:val="00205994"/>
    <w:rsid w:val="00206B84"/>
    <w:rsid w:val="0021033A"/>
    <w:rsid w:val="0021170F"/>
    <w:rsid w:val="00212811"/>
    <w:rsid w:val="00214E1D"/>
    <w:rsid w:val="002156D5"/>
    <w:rsid w:val="0021795E"/>
    <w:rsid w:val="00227EFE"/>
    <w:rsid w:val="00232F26"/>
    <w:rsid w:val="00233034"/>
    <w:rsid w:val="002341BE"/>
    <w:rsid w:val="00237099"/>
    <w:rsid w:val="002377D1"/>
    <w:rsid w:val="00242303"/>
    <w:rsid w:val="00245DDC"/>
    <w:rsid w:val="002468EE"/>
    <w:rsid w:val="002475C2"/>
    <w:rsid w:val="002606AD"/>
    <w:rsid w:val="00261CD6"/>
    <w:rsid w:val="00263174"/>
    <w:rsid w:val="00264027"/>
    <w:rsid w:val="00264099"/>
    <w:rsid w:val="002641D9"/>
    <w:rsid w:val="00266158"/>
    <w:rsid w:val="00270463"/>
    <w:rsid w:val="0027392C"/>
    <w:rsid w:val="002760D8"/>
    <w:rsid w:val="002771D6"/>
    <w:rsid w:val="002777FC"/>
    <w:rsid w:val="0028388D"/>
    <w:rsid w:val="00295FEF"/>
    <w:rsid w:val="0029660C"/>
    <w:rsid w:val="002A2088"/>
    <w:rsid w:val="002A568E"/>
    <w:rsid w:val="002B0967"/>
    <w:rsid w:val="002B327A"/>
    <w:rsid w:val="002B65B9"/>
    <w:rsid w:val="002B6715"/>
    <w:rsid w:val="002B7E01"/>
    <w:rsid w:val="002C16E8"/>
    <w:rsid w:val="002C185E"/>
    <w:rsid w:val="002C2A0F"/>
    <w:rsid w:val="002C7317"/>
    <w:rsid w:val="002D07DA"/>
    <w:rsid w:val="002D0F2E"/>
    <w:rsid w:val="002D1DDB"/>
    <w:rsid w:val="002D2632"/>
    <w:rsid w:val="002D3A56"/>
    <w:rsid w:val="002E5483"/>
    <w:rsid w:val="002E7A6C"/>
    <w:rsid w:val="002F07E0"/>
    <w:rsid w:val="002F0E22"/>
    <w:rsid w:val="002F24E6"/>
    <w:rsid w:val="002F36B9"/>
    <w:rsid w:val="002F6B3A"/>
    <w:rsid w:val="00300B52"/>
    <w:rsid w:val="0030412C"/>
    <w:rsid w:val="00306A41"/>
    <w:rsid w:val="003101C7"/>
    <w:rsid w:val="00321740"/>
    <w:rsid w:val="00322A3B"/>
    <w:rsid w:val="00326487"/>
    <w:rsid w:val="00340247"/>
    <w:rsid w:val="0034256E"/>
    <w:rsid w:val="00346BE7"/>
    <w:rsid w:val="003474F1"/>
    <w:rsid w:val="0035075B"/>
    <w:rsid w:val="00351193"/>
    <w:rsid w:val="00352722"/>
    <w:rsid w:val="0035321F"/>
    <w:rsid w:val="00353578"/>
    <w:rsid w:val="0035473B"/>
    <w:rsid w:val="0036009C"/>
    <w:rsid w:val="00360595"/>
    <w:rsid w:val="003610FF"/>
    <w:rsid w:val="003620BF"/>
    <w:rsid w:val="00363C35"/>
    <w:rsid w:val="00364B14"/>
    <w:rsid w:val="003674D8"/>
    <w:rsid w:val="00371022"/>
    <w:rsid w:val="0037184A"/>
    <w:rsid w:val="00380931"/>
    <w:rsid w:val="003877EB"/>
    <w:rsid w:val="003902A0"/>
    <w:rsid w:val="00393EF8"/>
    <w:rsid w:val="00393F1A"/>
    <w:rsid w:val="00395BD3"/>
    <w:rsid w:val="003967EB"/>
    <w:rsid w:val="003A03E2"/>
    <w:rsid w:val="003A1D7F"/>
    <w:rsid w:val="003A6531"/>
    <w:rsid w:val="003B287C"/>
    <w:rsid w:val="003C138C"/>
    <w:rsid w:val="003C3094"/>
    <w:rsid w:val="003C34F4"/>
    <w:rsid w:val="003D523F"/>
    <w:rsid w:val="003D5979"/>
    <w:rsid w:val="003D719E"/>
    <w:rsid w:val="003E071B"/>
    <w:rsid w:val="003E10B7"/>
    <w:rsid w:val="003E3322"/>
    <w:rsid w:val="003E6B06"/>
    <w:rsid w:val="003F4BA5"/>
    <w:rsid w:val="003F58E8"/>
    <w:rsid w:val="004023D6"/>
    <w:rsid w:val="00406F6C"/>
    <w:rsid w:val="0041047F"/>
    <w:rsid w:val="0041384B"/>
    <w:rsid w:val="00415D9D"/>
    <w:rsid w:val="00420E13"/>
    <w:rsid w:val="00424A7C"/>
    <w:rsid w:val="004272AD"/>
    <w:rsid w:val="004276FC"/>
    <w:rsid w:val="0043232B"/>
    <w:rsid w:val="004378BD"/>
    <w:rsid w:val="00442C06"/>
    <w:rsid w:val="0044338D"/>
    <w:rsid w:val="00446B93"/>
    <w:rsid w:val="004474F7"/>
    <w:rsid w:val="00453EE6"/>
    <w:rsid w:val="0045610B"/>
    <w:rsid w:val="00456183"/>
    <w:rsid w:val="004625C7"/>
    <w:rsid w:val="00462FF5"/>
    <w:rsid w:val="00464F14"/>
    <w:rsid w:val="00466E46"/>
    <w:rsid w:val="00473C2A"/>
    <w:rsid w:val="00484B1E"/>
    <w:rsid w:val="00492D76"/>
    <w:rsid w:val="0049376D"/>
    <w:rsid w:val="004A0E6D"/>
    <w:rsid w:val="004A36F8"/>
    <w:rsid w:val="004A5C47"/>
    <w:rsid w:val="004A7E57"/>
    <w:rsid w:val="004B056C"/>
    <w:rsid w:val="004B4FF4"/>
    <w:rsid w:val="004B6447"/>
    <w:rsid w:val="004B7AB6"/>
    <w:rsid w:val="004B7C06"/>
    <w:rsid w:val="004C15B5"/>
    <w:rsid w:val="004C1DF2"/>
    <w:rsid w:val="004D19D5"/>
    <w:rsid w:val="004D1BB5"/>
    <w:rsid w:val="004D3515"/>
    <w:rsid w:val="004D5790"/>
    <w:rsid w:val="004E4ADD"/>
    <w:rsid w:val="004E6CA3"/>
    <w:rsid w:val="004F1F42"/>
    <w:rsid w:val="004F53D7"/>
    <w:rsid w:val="004F59D3"/>
    <w:rsid w:val="00500F15"/>
    <w:rsid w:val="005016AE"/>
    <w:rsid w:val="005023F4"/>
    <w:rsid w:val="00503153"/>
    <w:rsid w:val="00506C50"/>
    <w:rsid w:val="00510528"/>
    <w:rsid w:val="0051058C"/>
    <w:rsid w:val="00513342"/>
    <w:rsid w:val="00523940"/>
    <w:rsid w:val="00523F44"/>
    <w:rsid w:val="0052410A"/>
    <w:rsid w:val="00524807"/>
    <w:rsid w:val="00526315"/>
    <w:rsid w:val="00537856"/>
    <w:rsid w:val="005518F7"/>
    <w:rsid w:val="005522EC"/>
    <w:rsid w:val="005536C9"/>
    <w:rsid w:val="00555A96"/>
    <w:rsid w:val="005579A7"/>
    <w:rsid w:val="0056030C"/>
    <w:rsid w:val="00560A60"/>
    <w:rsid w:val="005624F0"/>
    <w:rsid w:val="00562A3D"/>
    <w:rsid w:val="0056776E"/>
    <w:rsid w:val="00572CCF"/>
    <w:rsid w:val="005734B6"/>
    <w:rsid w:val="00575455"/>
    <w:rsid w:val="00575A7C"/>
    <w:rsid w:val="005770A8"/>
    <w:rsid w:val="005776EA"/>
    <w:rsid w:val="00580677"/>
    <w:rsid w:val="0058268B"/>
    <w:rsid w:val="005842E6"/>
    <w:rsid w:val="00584DBE"/>
    <w:rsid w:val="00586C60"/>
    <w:rsid w:val="00590E5E"/>
    <w:rsid w:val="00592722"/>
    <w:rsid w:val="00593BBE"/>
    <w:rsid w:val="00595F63"/>
    <w:rsid w:val="005A209C"/>
    <w:rsid w:val="005A2549"/>
    <w:rsid w:val="005A30EA"/>
    <w:rsid w:val="005A4CC1"/>
    <w:rsid w:val="005A4F70"/>
    <w:rsid w:val="005A6940"/>
    <w:rsid w:val="005A7AC4"/>
    <w:rsid w:val="005B2A15"/>
    <w:rsid w:val="005C26E7"/>
    <w:rsid w:val="005C5AC9"/>
    <w:rsid w:val="005D230A"/>
    <w:rsid w:val="005D34BE"/>
    <w:rsid w:val="005D4B0C"/>
    <w:rsid w:val="005E00DF"/>
    <w:rsid w:val="005E28F6"/>
    <w:rsid w:val="005E4935"/>
    <w:rsid w:val="005E7234"/>
    <w:rsid w:val="005E77AE"/>
    <w:rsid w:val="005E7FA4"/>
    <w:rsid w:val="005F28B1"/>
    <w:rsid w:val="005F36B2"/>
    <w:rsid w:val="00603C91"/>
    <w:rsid w:val="00610383"/>
    <w:rsid w:val="00610A93"/>
    <w:rsid w:val="00611F40"/>
    <w:rsid w:val="00612E35"/>
    <w:rsid w:val="006171D2"/>
    <w:rsid w:val="00624849"/>
    <w:rsid w:val="00626A71"/>
    <w:rsid w:val="00627380"/>
    <w:rsid w:val="00627D06"/>
    <w:rsid w:val="0063108C"/>
    <w:rsid w:val="00632FAE"/>
    <w:rsid w:val="006437BE"/>
    <w:rsid w:val="0064382C"/>
    <w:rsid w:val="00654654"/>
    <w:rsid w:val="00654787"/>
    <w:rsid w:val="006550EA"/>
    <w:rsid w:val="0066027A"/>
    <w:rsid w:val="0066419A"/>
    <w:rsid w:val="00666E6E"/>
    <w:rsid w:val="006738E1"/>
    <w:rsid w:val="00675B83"/>
    <w:rsid w:val="0067734D"/>
    <w:rsid w:val="006834C1"/>
    <w:rsid w:val="00684C78"/>
    <w:rsid w:val="006A2454"/>
    <w:rsid w:val="006B6BBB"/>
    <w:rsid w:val="006B74AB"/>
    <w:rsid w:val="006C422B"/>
    <w:rsid w:val="006C6D02"/>
    <w:rsid w:val="006C6FF4"/>
    <w:rsid w:val="006C75B4"/>
    <w:rsid w:val="006D1B64"/>
    <w:rsid w:val="006D386C"/>
    <w:rsid w:val="006D3E46"/>
    <w:rsid w:val="006D3F53"/>
    <w:rsid w:val="006D4AE8"/>
    <w:rsid w:val="006E3282"/>
    <w:rsid w:val="006E7269"/>
    <w:rsid w:val="006F10D4"/>
    <w:rsid w:val="006F2F05"/>
    <w:rsid w:val="006F49BE"/>
    <w:rsid w:val="006F7128"/>
    <w:rsid w:val="006F79C5"/>
    <w:rsid w:val="00705BE2"/>
    <w:rsid w:val="007064C8"/>
    <w:rsid w:val="0070704F"/>
    <w:rsid w:val="007109A4"/>
    <w:rsid w:val="00714E5D"/>
    <w:rsid w:val="007163DD"/>
    <w:rsid w:val="0072161A"/>
    <w:rsid w:val="0072563F"/>
    <w:rsid w:val="00725C59"/>
    <w:rsid w:val="00727310"/>
    <w:rsid w:val="007310AC"/>
    <w:rsid w:val="00732AB4"/>
    <w:rsid w:val="0073507A"/>
    <w:rsid w:val="00735F02"/>
    <w:rsid w:val="00737808"/>
    <w:rsid w:val="00742879"/>
    <w:rsid w:val="00742C70"/>
    <w:rsid w:val="00742DA8"/>
    <w:rsid w:val="00747B9D"/>
    <w:rsid w:val="00755090"/>
    <w:rsid w:val="00756515"/>
    <w:rsid w:val="007608EB"/>
    <w:rsid w:val="007621B4"/>
    <w:rsid w:val="00764535"/>
    <w:rsid w:val="00765A80"/>
    <w:rsid w:val="007728F5"/>
    <w:rsid w:val="00777238"/>
    <w:rsid w:val="0078271E"/>
    <w:rsid w:val="00787C12"/>
    <w:rsid w:val="00794B26"/>
    <w:rsid w:val="00796240"/>
    <w:rsid w:val="007A4202"/>
    <w:rsid w:val="007A4620"/>
    <w:rsid w:val="007A4A5D"/>
    <w:rsid w:val="007A5F1B"/>
    <w:rsid w:val="007B102A"/>
    <w:rsid w:val="007B19AE"/>
    <w:rsid w:val="007B23AF"/>
    <w:rsid w:val="007B441D"/>
    <w:rsid w:val="007B4541"/>
    <w:rsid w:val="007B56A3"/>
    <w:rsid w:val="007B7AFD"/>
    <w:rsid w:val="007C5EB2"/>
    <w:rsid w:val="007E27B6"/>
    <w:rsid w:val="007F0109"/>
    <w:rsid w:val="007F4D78"/>
    <w:rsid w:val="007F557A"/>
    <w:rsid w:val="007F58E0"/>
    <w:rsid w:val="007F5E2C"/>
    <w:rsid w:val="00805859"/>
    <w:rsid w:val="00805BB2"/>
    <w:rsid w:val="00805F04"/>
    <w:rsid w:val="00810984"/>
    <w:rsid w:val="0081212A"/>
    <w:rsid w:val="00816D0A"/>
    <w:rsid w:val="00817FD6"/>
    <w:rsid w:val="00820080"/>
    <w:rsid w:val="00823818"/>
    <w:rsid w:val="00825B1B"/>
    <w:rsid w:val="00827FCD"/>
    <w:rsid w:val="00831FE1"/>
    <w:rsid w:val="008335C0"/>
    <w:rsid w:val="0083368A"/>
    <w:rsid w:val="00834E6C"/>
    <w:rsid w:val="0083742E"/>
    <w:rsid w:val="00840A91"/>
    <w:rsid w:val="008504EC"/>
    <w:rsid w:val="0085184D"/>
    <w:rsid w:val="00852C25"/>
    <w:rsid w:val="00853ABA"/>
    <w:rsid w:val="00855FF6"/>
    <w:rsid w:val="00856952"/>
    <w:rsid w:val="00857203"/>
    <w:rsid w:val="008603B4"/>
    <w:rsid w:val="0086255A"/>
    <w:rsid w:val="00865A37"/>
    <w:rsid w:val="008734AF"/>
    <w:rsid w:val="0087487F"/>
    <w:rsid w:val="00877052"/>
    <w:rsid w:val="008853CF"/>
    <w:rsid w:val="008918E4"/>
    <w:rsid w:val="00896582"/>
    <w:rsid w:val="008971B4"/>
    <w:rsid w:val="008A067D"/>
    <w:rsid w:val="008A342C"/>
    <w:rsid w:val="008A3E89"/>
    <w:rsid w:val="008A4274"/>
    <w:rsid w:val="008A43DF"/>
    <w:rsid w:val="008A7FF8"/>
    <w:rsid w:val="008B20B2"/>
    <w:rsid w:val="008B2D4A"/>
    <w:rsid w:val="008C1CC6"/>
    <w:rsid w:val="008C3C9E"/>
    <w:rsid w:val="008C4AEF"/>
    <w:rsid w:val="008C7915"/>
    <w:rsid w:val="008D3CDE"/>
    <w:rsid w:val="008D4DEE"/>
    <w:rsid w:val="008E2A31"/>
    <w:rsid w:val="008E40D1"/>
    <w:rsid w:val="008E5C61"/>
    <w:rsid w:val="008E7D53"/>
    <w:rsid w:val="008F24FC"/>
    <w:rsid w:val="008F4939"/>
    <w:rsid w:val="008F4B63"/>
    <w:rsid w:val="008F5851"/>
    <w:rsid w:val="00902752"/>
    <w:rsid w:val="00904C81"/>
    <w:rsid w:val="009055DC"/>
    <w:rsid w:val="00912859"/>
    <w:rsid w:val="00912C41"/>
    <w:rsid w:val="0091358D"/>
    <w:rsid w:val="00913839"/>
    <w:rsid w:val="0091737F"/>
    <w:rsid w:val="00917CC5"/>
    <w:rsid w:val="00920A6B"/>
    <w:rsid w:val="00922889"/>
    <w:rsid w:val="00923F49"/>
    <w:rsid w:val="00927B99"/>
    <w:rsid w:val="00927E09"/>
    <w:rsid w:val="00931B7C"/>
    <w:rsid w:val="00932948"/>
    <w:rsid w:val="00935C0C"/>
    <w:rsid w:val="00936007"/>
    <w:rsid w:val="00936426"/>
    <w:rsid w:val="0093764D"/>
    <w:rsid w:val="00947008"/>
    <w:rsid w:val="009518DC"/>
    <w:rsid w:val="00954EED"/>
    <w:rsid w:val="00956B72"/>
    <w:rsid w:val="00957639"/>
    <w:rsid w:val="009608FE"/>
    <w:rsid w:val="0096621F"/>
    <w:rsid w:val="00970418"/>
    <w:rsid w:val="009736BD"/>
    <w:rsid w:val="00977326"/>
    <w:rsid w:val="009801F6"/>
    <w:rsid w:val="00981D51"/>
    <w:rsid w:val="00983C94"/>
    <w:rsid w:val="0099127E"/>
    <w:rsid w:val="009A0F41"/>
    <w:rsid w:val="009A2346"/>
    <w:rsid w:val="009A2F74"/>
    <w:rsid w:val="009A3672"/>
    <w:rsid w:val="009A4080"/>
    <w:rsid w:val="009A67CC"/>
    <w:rsid w:val="009B05DF"/>
    <w:rsid w:val="009B12BA"/>
    <w:rsid w:val="009B1DB8"/>
    <w:rsid w:val="009B282C"/>
    <w:rsid w:val="009B2FD8"/>
    <w:rsid w:val="009B4E08"/>
    <w:rsid w:val="009B6C16"/>
    <w:rsid w:val="009B79C9"/>
    <w:rsid w:val="009C02D0"/>
    <w:rsid w:val="009C5AD7"/>
    <w:rsid w:val="009C7C58"/>
    <w:rsid w:val="009D4B5C"/>
    <w:rsid w:val="009D7649"/>
    <w:rsid w:val="009E6161"/>
    <w:rsid w:val="009F2446"/>
    <w:rsid w:val="009F2859"/>
    <w:rsid w:val="009F40C5"/>
    <w:rsid w:val="009F74FB"/>
    <w:rsid w:val="00A00964"/>
    <w:rsid w:val="00A00F58"/>
    <w:rsid w:val="00A01EEC"/>
    <w:rsid w:val="00A1658A"/>
    <w:rsid w:val="00A21FBB"/>
    <w:rsid w:val="00A32296"/>
    <w:rsid w:val="00A33EAA"/>
    <w:rsid w:val="00A37FF5"/>
    <w:rsid w:val="00A400BA"/>
    <w:rsid w:val="00A4272A"/>
    <w:rsid w:val="00A45541"/>
    <w:rsid w:val="00A45D04"/>
    <w:rsid w:val="00A4696E"/>
    <w:rsid w:val="00A518CA"/>
    <w:rsid w:val="00A56608"/>
    <w:rsid w:val="00A641B7"/>
    <w:rsid w:val="00A6634B"/>
    <w:rsid w:val="00A678AE"/>
    <w:rsid w:val="00A7103B"/>
    <w:rsid w:val="00A71983"/>
    <w:rsid w:val="00A7242B"/>
    <w:rsid w:val="00A726F6"/>
    <w:rsid w:val="00A7404E"/>
    <w:rsid w:val="00A76746"/>
    <w:rsid w:val="00A83634"/>
    <w:rsid w:val="00A944F4"/>
    <w:rsid w:val="00A967D8"/>
    <w:rsid w:val="00A970F9"/>
    <w:rsid w:val="00A9738A"/>
    <w:rsid w:val="00AA6C54"/>
    <w:rsid w:val="00AB06DA"/>
    <w:rsid w:val="00AB162B"/>
    <w:rsid w:val="00AB1DFD"/>
    <w:rsid w:val="00AB1E9C"/>
    <w:rsid w:val="00AB2FE6"/>
    <w:rsid w:val="00AB3C90"/>
    <w:rsid w:val="00AB4887"/>
    <w:rsid w:val="00AB73CC"/>
    <w:rsid w:val="00AC033D"/>
    <w:rsid w:val="00AC0BF3"/>
    <w:rsid w:val="00AC0E19"/>
    <w:rsid w:val="00AC4A20"/>
    <w:rsid w:val="00AC6416"/>
    <w:rsid w:val="00AC6C43"/>
    <w:rsid w:val="00AD2668"/>
    <w:rsid w:val="00AD7107"/>
    <w:rsid w:val="00AE13A8"/>
    <w:rsid w:val="00AE5525"/>
    <w:rsid w:val="00AE7FD3"/>
    <w:rsid w:val="00AF00F6"/>
    <w:rsid w:val="00AF1121"/>
    <w:rsid w:val="00AF7A3C"/>
    <w:rsid w:val="00B01CD4"/>
    <w:rsid w:val="00B1129D"/>
    <w:rsid w:val="00B114B5"/>
    <w:rsid w:val="00B1253F"/>
    <w:rsid w:val="00B1720F"/>
    <w:rsid w:val="00B17FD7"/>
    <w:rsid w:val="00B21EA6"/>
    <w:rsid w:val="00B2266A"/>
    <w:rsid w:val="00B227D0"/>
    <w:rsid w:val="00B347F3"/>
    <w:rsid w:val="00B353B1"/>
    <w:rsid w:val="00B36076"/>
    <w:rsid w:val="00B40778"/>
    <w:rsid w:val="00B45310"/>
    <w:rsid w:val="00B4562C"/>
    <w:rsid w:val="00B50024"/>
    <w:rsid w:val="00B5137D"/>
    <w:rsid w:val="00B51DF6"/>
    <w:rsid w:val="00B52076"/>
    <w:rsid w:val="00B57417"/>
    <w:rsid w:val="00B61CFC"/>
    <w:rsid w:val="00B64514"/>
    <w:rsid w:val="00B70901"/>
    <w:rsid w:val="00B75A45"/>
    <w:rsid w:val="00B808FD"/>
    <w:rsid w:val="00B81D58"/>
    <w:rsid w:val="00B82D96"/>
    <w:rsid w:val="00B852EE"/>
    <w:rsid w:val="00B85876"/>
    <w:rsid w:val="00B870E5"/>
    <w:rsid w:val="00B91544"/>
    <w:rsid w:val="00B929C5"/>
    <w:rsid w:val="00B9304B"/>
    <w:rsid w:val="00B93CD9"/>
    <w:rsid w:val="00B94716"/>
    <w:rsid w:val="00B97D1F"/>
    <w:rsid w:val="00B97DA7"/>
    <w:rsid w:val="00BA1332"/>
    <w:rsid w:val="00BA6E69"/>
    <w:rsid w:val="00BB62CF"/>
    <w:rsid w:val="00BB6C91"/>
    <w:rsid w:val="00BC05FF"/>
    <w:rsid w:val="00BC0DBB"/>
    <w:rsid w:val="00BC1BA6"/>
    <w:rsid w:val="00BC1D45"/>
    <w:rsid w:val="00BC24F5"/>
    <w:rsid w:val="00BC42DA"/>
    <w:rsid w:val="00BC47FE"/>
    <w:rsid w:val="00BC4DBC"/>
    <w:rsid w:val="00BC69A7"/>
    <w:rsid w:val="00BD3917"/>
    <w:rsid w:val="00BE137B"/>
    <w:rsid w:val="00BE3D69"/>
    <w:rsid w:val="00BF33A9"/>
    <w:rsid w:val="00BF7679"/>
    <w:rsid w:val="00C000CE"/>
    <w:rsid w:val="00C13BAF"/>
    <w:rsid w:val="00C1603B"/>
    <w:rsid w:val="00C20BBA"/>
    <w:rsid w:val="00C21659"/>
    <w:rsid w:val="00C21EC0"/>
    <w:rsid w:val="00C232F9"/>
    <w:rsid w:val="00C25530"/>
    <w:rsid w:val="00C27E82"/>
    <w:rsid w:val="00C32AC9"/>
    <w:rsid w:val="00C333EA"/>
    <w:rsid w:val="00C3656D"/>
    <w:rsid w:val="00C36679"/>
    <w:rsid w:val="00C3718E"/>
    <w:rsid w:val="00C45F30"/>
    <w:rsid w:val="00C474FC"/>
    <w:rsid w:val="00C50D01"/>
    <w:rsid w:val="00C51E33"/>
    <w:rsid w:val="00C53DE4"/>
    <w:rsid w:val="00C54F1C"/>
    <w:rsid w:val="00C55E11"/>
    <w:rsid w:val="00C57E42"/>
    <w:rsid w:val="00C62BEC"/>
    <w:rsid w:val="00C66078"/>
    <w:rsid w:val="00C671EE"/>
    <w:rsid w:val="00C72024"/>
    <w:rsid w:val="00C72B3E"/>
    <w:rsid w:val="00C833C3"/>
    <w:rsid w:val="00C841F3"/>
    <w:rsid w:val="00C85318"/>
    <w:rsid w:val="00C96094"/>
    <w:rsid w:val="00C97591"/>
    <w:rsid w:val="00CA13F3"/>
    <w:rsid w:val="00CA273D"/>
    <w:rsid w:val="00CA5731"/>
    <w:rsid w:val="00CA6B83"/>
    <w:rsid w:val="00CB17AC"/>
    <w:rsid w:val="00CB2510"/>
    <w:rsid w:val="00CB2699"/>
    <w:rsid w:val="00CB281F"/>
    <w:rsid w:val="00CB38E5"/>
    <w:rsid w:val="00CB4613"/>
    <w:rsid w:val="00CB4DBA"/>
    <w:rsid w:val="00CB52FD"/>
    <w:rsid w:val="00CC02D6"/>
    <w:rsid w:val="00CC0F50"/>
    <w:rsid w:val="00CC5CA9"/>
    <w:rsid w:val="00CD43A9"/>
    <w:rsid w:val="00CD4D47"/>
    <w:rsid w:val="00CE1CC3"/>
    <w:rsid w:val="00CE232D"/>
    <w:rsid w:val="00CE652F"/>
    <w:rsid w:val="00CE76D2"/>
    <w:rsid w:val="00CF0137"/>
    <w:rsid w:val="00CF1A41"/>
    <w:rsid w:val="00D01557"/>
    <w:rsid w:val="00D12A95"/>
    <w:rsid w:val="00D12D06"/>
    <w:rsid w:val="00D132AD"/>
    <w:rsid w:val="00D14C59"/>
    <w:rsid w:val="00D16ADB"/>
    <w:rsid w:val="00D35B98"/>
    <w:rsid w:val="00D41966"/>
    <w:rsid w:val="00D44226"/>
    <w:rsid w:val="00D50BB6"/>
    <w:rsid w:val="00D51104"/>
    <w:rsid w:val="00D524B5"/>
    <w:rsid w:val="00D52737"/>
    <w:rsid w:val="00D550EF"/>
    <w:rsid w:val="00D5785A"/>
    <w:rsid w:val="00D63ADB"/>
    <w:rsid w:val="00D63F2E"/>
    <w:rsid w:val="00D721F2"/>
    <w:rsid w:val="00D7385E"/>
    <w:rsid w:val="00D76184"/>
    <w:rsid w:val="00D827BF"/>
    <w:rsid w:val="00D90D89"/>
    <w:rsid w:val="00D926C1"/>
    <w:rsid w:val="00D932BF"/>
    <w:rsid w:val="00D95241"/>
    <w:rsid w:val="00D95707"/>
    <w:rsid w:val="00D964F0"/>
    <w:rsid w:val="00DA2281"/>
    <w:rsid w:val="00DA57C2"/>
    <w:rsid w:val="00DA600F"/>
    <w:rsid w:val="00DA71DF"/>
    <w:rsid w:val="00DA7551"/>
    <w:rsid w:val="00DA76D6"/>
    <w:rsid w:val="00DA777B"/>
    <w:rsid w:val="00DB2E3A"/>
    <w:rsid w:val="00DB5953"/>
    <w:rsid w:val="00DB75D0"/>
    <w:rsid w:val="00DC06B3"/>
    <w:rsid w:val="00DC2556"/>
    <w:rsid w:val="00DC2A8E"/>
    <w:rsid w:val="00DC33B0"/>
    <w:rsid w:val="00DC675E"/>
    <w:rsid w:val="00DD1AD8"/>
    <w:rsid w:val="00DE1B01"/>
    <w:rsid w:val="00DE4E30"/>
    <w:rsid w:val="00DE65F7"/>
    <w:rsid w:val="00DE66C1"/>
    <w:rsid w:val="00DF268F"/>
    <w:rsid w:val="00E012B7"/>
    <w:rsid w:val="00E051A5"/>
    <w:rsid w:val="00E13287"/>
    <w:rsid w:val="00E152CF"/>
    <w:rsid w:val="00E16705"/>
    <w:rsid w:val="00E207B5"/>
    <w:rsid w:val="00E23AFC"/>
    <w:rsid w:val="00E24579"/>
    <w:rsid w:val="00E26E62"/>
    <w:rsid w:val="00E36621"/>
    <w:rsid w:val="00E40684"/>
    <w:rsid w:val="00E41CEF"/>
    <w:rsid w:val="00E44993"/>
    <w:rsid w:val="00E506DA"/>
    <w:rsid w:val="00E51D00"/>
    <w:rsid w:val="00E520D1"/>
    <w:rsid w:val="00E540D7"/>
    <w:rsid w:val="00E54985"/>
    <w:rsid w:val="00E54B9F"/>
    <w:rsid w:val="00E63258"/>
    <w:rsid w:val="00E63C72"/>
    <w:rsid w:val="00E66279"/>
    <w:rsid w:val="00E758CA"/>
    <w:rsid w:val="00E81747"/>
    <w:rsid w:val="00E82CF8"/>
    <w:rsid w:val="00E83BC8"/>
    <w:rsid w:val="00E83FFD"/>
    <w:rsid w:val="00E84824"/>
    <w:rsid w:val="00E85125"/>
    <w:rsid w:val="00E86456"/>
    <w:rsid w:val="00E87008"/>
    <w:rsid w:val="00E87CAE"/>
    <w:rsid w:val="00E91611"/>
    <w:rsid w:val="00E95E99"/>
    <w:rsid w:val="00E97727"/>
    <w:rsid w:val="00EA1BB1"/>
    <w:rsid w:val="00EA2DAF"/>
    <w:rsid w:val="00EA523C"/>
    <w:rsid w:val="00EA6C66"/>
    <w:rsid w:val="00EB235B"/>
    <w:rsid w:val="00EB726B"/>
    <w:rsid w:val="00EC00A3"/>
    <w:rsid w:val="00EC6121"/>
    <w:rsid w:val="00EC6C6A"/>
    <w:rsid w:val="00ED121B"/>
    <w:rsid w:val="00ED1A12"/>
    <w:rsid w:val="00ED4A74"/>
    <w:rsid w:val="00ED4E06"/>
    <w:rsid w:val="00ED5A98"/>
    <w:rsid w:val="00EE41D4"/>
    <w:rsid w:val="00EE465C"/>
    <w:rsid w:val="00EF06C3"/>
    <w:rsid w:val="00EF0760"/>
    <w:rsid w:val="00EF53AF"/>
    <w:rsid w:val="00F1007C"/>
    <w:rsid w:val="00F117DC"/>
    <w:rsid w:val="00F12411"/>
    <w:rsid w:val="00F13FC4"/>
    <w:rsid w:val="00F200E4"/>
    <w:rsid w:val="00F254EF"/>
    <w:rsid w:val="00F27F7B"/>
    <w:rsid w:val="00F3202E"/>
    <w:rsid w:val="00F33C14"/>
    <w:rsid w:val="00F36549"/>
    <w:rsid w:val="00F37A94"/>
    <w:rsid w:val="00F42DC5"/>
    <w:rsid w:val="00F43500"/>
    <w:rsid w:val="00F43E7C"/>
    <w:rsid w:val="00F4595E"/>
    <w:rsid w:val="00F47716"/>
    <w:rsid w:val="00F47F3B"/>
    <w:rsid w:val="00F513D1"/>
    <w:rsid w:val="00F605A5"/>
    <w:rsid w:val="00F63922"/>
    <w:rsid w:val="00F721A9"/>
    <w:rsid w:val="00F733FF"/>
    <w:rsid w:val="00F7581F"/>
    <w:rsid w:val="00F8004F"/>
    <w:rsid w:val="00F81A30"/>
    <w:rsid w:val="00F8284F"/>
    <w:rsid w:val="00F9023F"/>
    <w:rsid w:val="00F93939"/>
    <w:rsid w:val="00F94833"/>
    <w:rsid w:val="00F97B90"/>
    <w:rsid w:val="00FA3762"/>
    <w:rsid w:val="00FA3BD3"/>
    <w:rsid w:val="00FB0A70"/>
    <w:rsid w:val="00FB48CB"/>
    <w:rsid w:val="00FB75D0"/>
    <w:rsid w:val="00FC0ECF"/>
    <w:rsid w:val="00FD78F8"/>
    <w:rsid w:val="00FE0EAD"/>
    <w:rsid w:val="00FE34C9"/>
    <w:rsid w:val="00FF23D1"/>
    <w:rsid w:val="00FF34FC"/>
    <w:rsid w:val="00FF41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6"/>
    <w:rPr>
      <w:rFonts w:ascii="Times New Roman" w:eastAsia="Batang"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2F26"/>
    <w:rPr>
      <w:sz w:val="20"/>
      <w:szCs w:val="20"/>
    </w:rPr>
  </w:style>
  <w:style w:type="character" w:customStyle="1" w:styleId="EndnoteTextChar">
    <w:name w:val="Endnote Text Char"/>
    <w:link w:val="EndnoteText"/>
    <w:uiPriority w:val="99"/>
    <w:semiHidden/>
    <w:rsid w:val="00232F26"/>
    <w:rPr>
      <w:rFonts w:ascii="Times New Roman" w:eastAsia="Batang" w:hAnsi="Times New Roman" w:cs="Times New Roman"/>
      <w:sz w:val="20"/>
      <w:szCs w:val="20"/>
      <w:lang w:eastAsia="en-US"/>
    </w:rPr>
  </w:style>
  <w:style w:type="character" w:styleId="EndnoteReference">
    <w:name w:val="endnote reference"/>
    <w:uiPriority w:val="99"/>
    <w:semiHidden/>
    <w:unhideWhenUsed/>
    <w:rsid w:val="00232F26"/>
    <w:rPr>
      <w:vertAlign w:val="superscript"/>
    </w:rPr>
  </w:style>
  <w:style w:type="character" w:styleId="Hyperlink">
    <w:name w:val="Hyperlink"/>
    <w:uiPriority w:val="99"/>
    <w:unhideWhenUsed/>
    <w:rsid w:val="00155031"/>
    <w:rPr>
      <w:color w:val="0000FF"/>
      <w:u w:val="single"/>
    </w:rPr>
  </w:style>
  <w:style w:type="character" w:styleId="PlaceholderText">
    <w:name w:val="Placeholder Text"/>
    <w:uiPriority w:val="99"/>
    <w:semiHidden/>
    <w:rsid w:val="00DB2E3A"/>
    <w:rPr>
      <w:color w:val="808080"/>
    </w:rPr>
  </w:style>
  <w:style w:type="paragraph" w:styleId="BalloonText">
    <w:name w:val="Balloon Text"/>
    <w:basedOn w:val="Normal"/>
    <w:link w:val="BalloonTextChar"/>
    <w:uiPriority w:val="99"/>
    <w:semiHidden/>
    <w:unhideWhenUsed/>
    <w:rsid w:val="00DB2E3A"/>
    <w:rPr>
      <w:rFonts w:ascii="Tahoma" w:hAnsi="Tahoma" w:cs="Tahoma"/>
      <w:sz w:val="16"/>
      <w:szCs w:val="16"/>
    </w:rPr>
  </w:style>
  <w:style w:type="character" w:customStyle="1" w:styleId="BalloonTextChar">
    <w:name w:val="Balloon Text Char"/>
    <w:link w:val="BalloonText"/>
    <w:uiPriority w:val="99"/>
    <w:semiHidden/>
    <w:rsid w:val="00DB2E3A"/>
    <w:rPr>
      <w:rFonts w:ascii="Tahoma" w:eastAsia="Batang" w:hAnsi="Tahoma" w:cs="Tahoma"/>
      <w:sz w:val="16"/>
      <w:szCs w:val="16"/>
      <w:lang w:eastAsia="en-US"/>
    </w:rPr>
  </w:style>
  <w:style w:type="paragraph" w:styleId="Header">
    <w:name w:val="header"/>
    <w:basedOn w:val="Normal"/>
    <w:link w:val="HeaderChar"/>
    <w:uiPriority w:val="99"/>
    <w:unhideWhenUsed/>
    <w:rsid w:val="001B277C"/>
    <w:pPr>
      <w:tabs>
        <w:tab w:val="center" w:pos="4680"/>
        <w:tab w:val="right" w:pos="9360"/>
      </w:tabs>
    </w:pPr>
  </w:style>
  <w:style w:type="character" w:customStyle="1" w:styleId="HeaderChar">
    <w:name w:val="Header Char"/>
    <w:link w:val="Header"/>
    <w:uiPriority w:val="99"/>
    <w:rsid w:val="001B277C"/>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1B277C"/>
    <w:pPr>
      <w:tabs>
        <w:tab w:val="center" w:pos="4680"/>
        <w:tab w:val="right" w:pos="9360"/>
      </w:tabs>
    </w:pPr>
  </w:style>
  <w:style w:type="character" w:customStyle="1" w:styleId="FooterChar">
    <w:name w:val="Footer Char"/>
    <w:link w:val="Footer"/>
    <w:uiPriority w:val="99"/>
    <w:rsid w:val="001B277C"/>
    <w:rPr>
      <w:rFonts w:ascii="Times New Roman" w:eastAsia="Batang" w:hAnsi="Times New Roman" w:cs="Times New Roman"/>
      <w:sz w:val="24"/>
      <w:szCs w:val="24"/>
      <w:lang w:eastAsia="en-US"/>
    </w:rPr>
  </w:style>
  <w:style w:type="table" w:styleId="TableGrid">
    <w:name w:val="Table Grid"/>
    <w:basedOn w:val="TableNormal"/>
    <w:uiPriority w:val="59"/>
    <w:rsid w:val="007B1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1D3D"/>
    <w:pPr>
      <w:spacing w:before="100" w:beforeAutospacing="1" w:after="100" w:afterAutospacing="1"/>
    </w:pPr>
    <w:rPr>
      <w:rFonts w:eastAsia="Times New Roman"/>
      <w:lang w:eastAsia="ko-KR"/>
    </w:rPr>
  </w:style>
  <w:style w:type="character" w:customStyle="1" w:styleId="apple-converted-space">
    <w:name w:val="apple-converted-space"/>
    <w:basedOn w:val="DefaultParagraphFont"/>
    <w:rsid w:val="00051D3D"/>
  </w:style>
  <w:style w:type="paragraph" w:styleId="ListParagraph">
    <w:name w:val="List Paragraph"/>
    <w:basedOn w:val="Normal"/>
    <w:uiPriority w:val="34"/>
    <w:qFormat/>
    <w:rsid w:val="0004714E"/>
    <w:pPr>
      <w:ind w:left="720"/>
      <w:contextualSpacing/>
    </w:pPr>
  </w:style>
  <w:style w:type="character" w:styleId="CommentReference">
    <w:name w:val="annotation reference"/>
    <w:uiPriority w:val="99"/>
    <w:semiHidden/>
    <w:unhideWhenUsed/>
    <w:rsid w:val="004C15B5"/>
    <w:rPr>
      <w:sz w:val="16"/>
      <w:szCs w:val="16"/>
    </w:rPr>
  </w:style>
  <w:style w:type="paragraph" w:styleId="CommentText">
    <w:name w:val="annotation text"/>
    <w:basedOn w:val="Normal"/>
    <w:link w:val="CommentTextChar"/>
    <w:uiPriority w:val="99"/>
    <w:semiHidden/>
    <w:unhideWhenUsed/>
    <w:rsid w:val="004C15B5"/>
    <w:rPr>
      <w:sz w:val="20"/>
      <w:szCs w:val="20"/>
    </w:rPr>
  </w:style>
  <w:style w:type="character" w:customStyle="1" w:styleId="CommentTextChar">
    <w:name w:val="Comment Text Char"/>
    <w:link w:val="CommentText"/>
    <w:uiPriority w:val="99"/>
    <w:semiHidden/>
    <w:rsid w:val="004C15B5"/>
    <w:rPr>
      <w:rFonts w:ascii="Times New Roman" w:eastAsia="Batang"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15B5"/>
    <w:rPr>
      <w:b/>
      <w:bCs/>
    </w:rPr>
  </w:style>
  <w:style w:type="character" w:customStyle="1" w:styleId="CommentSubjectChar">
    <w:name w:val="Comment Subject Char"/>
    <w:link w:val="CommentSubject"/>
    <w:uiPriority w:val="99"/>
    <w:semiHidden/>
    <w:rsid w:val="004C15B5"/>
    <w:rPr>
      <w:rFonts w:ascii="Times New Roman" w:eastAsia="Batang" w:hAnsi="Times New Roman" w:cs="Times New Roman"/>
      <w:b/>
      <w:bCs/>
      <w:sz w:val="20"/>
      <w:szCs w:val="20"/>
      <w:lang w:eastAsia="en-US"/>
    </w:rPr>
  </w:style>
  <w:style w:type="character" w:styleId="FollowedHyperlink">
    <w:name w:val="FollowedHyperlink"/>
    <w:basedOn w:val="DefaultParagraphFont"/>
    <w:uiPriority w:val="99"/>
    <w:semiHidden/>
    <w:unhideWhenUsed/>
    <w:rsid w:val="00E51D00"/>
    <w:rPr>
      <w:color w:val="800080" w:themeColor="followedHyperlink"/>
      <w:u w:val="single"/>
    </w:rPr>
  </w:style>
  <w:style w:type="character" w:styleId="Strong">
    <w:name w:val="Strong"/>
    <w:basedOn w:val="DefaultParagraphFont"/>
    <w:uiPriority w:val="22"/>
    <w:qFormat/>
    <w:rsid w:val="007163DD"/>
    <w:rPr>
      <w:b/>
      <w:bCs/>
    </w:rPr>
  </w:style>
  <w:style w:type="paragraph" w:styleId="FootnoteText">
    <w:name w:val="footnote text"/>
    <w:basedOn w:val="Normal"/>
    <w:link w:val="FootnoteTextChar"/>
    <w:uiPriority w:val="99"/>
    <w:semiHidden/>
    <w:unhideWhenUsed/>
    <w:rsid w:val="0087487F"/>
    <w:rPr>
      <w:sz w:val="20"/>
      <w:szCs w:val="20"/>
    </w:rPr>
  </w:style>
  <w:style w:type="character" w:customStyle="1" w:styleId="FootnoteTextChar">
    <w:name w:val="Footnote Text Char"/>
    <w:basedOn w:val="DefaultParagraphFont"/>
    <w:link w:val="FootnoteText"/>
    <w:uiPriority w:val="99"/>
    <w:semiHidden/>
    <w:rsid w:val="0087487F"/>
    <w:rPr>
      <w:rFonts w:ascii="Times New Roman" w:eastAsia="Batang" w:hAnsi="Times New Roman"/>
      <w:lang w:eastAsia="en-US"/>
    </w:rPr>
  </w:style>
  <w:style w:type="character" w:styleId="FootnoteReference">
    <w:name w:val="footnote reference"/>
    <w:basedOn w:val="DefaultParagraphFont"/>
    <w:uiPriority w:val="99"/>
    <w:semiHidden/>
    <w:unhideWhenUsed/>
    <w:rsid w:val="0087487F"/>
    <w:rPr>
      <w:vertAlign w:val="superscript"/>
    </w:rPr>
  </w:style>
  <w:style w:type="paragraph" w:customStyle="1" w:styleId="Body">
    <w:name w:val="Body"/>
    <w:rsid w:val="00666E6E"/>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6"/>
    <w:rPr>
      <w:rFonts w:ascii="Times New Roman" w:eastAsia="Batang"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2F26"/>
    <w:rPr>
      <w:sz w:val="20"/>
      <w:szCs w:val="20"/>
    </w:rPr>
  </w:style>
  <w:style w:type="character" w:customStyle="1" w:styleId="EndnoteTextChar">
    <w:name w:val="Endnote Text Char"/>
    <w:link w:val="EndnoteText"/>
    <w:uiPriority w:val="99"/>
    <w:semiHidden/>
    <w:rsid w:val="00232F26"/>
    <w:rPr>
      <w:rFonts w:ascii="Times New Roman" w:eastAsia="Batang" w:hAnsi="Times New Roman" w:cs="Times New Roman"/>
      <w:sz w:val="20"/>
      <w:szCs w:val="20"/>
      <w:lang w:eastAsia="en-US"/>
    </w:rPr>
  </w:style>
  <w:style w:type="character" w:styleId="EndnoteReference">
    <w:name w:val="endnote reference"/>
    <w:uiPriority w:val="99"/>
    <w:semiHidden/>
    <w:unhideWhenUsed/>
    <w:rsid w:val="00232F26"/>
    <w:rPr>
      <w:vertAlign w:val="superscript"/>
    </w:rPr>
  </w:style>
  <w:style w:type="character" w:styleId="Hyperlink">
    <w:name w:val="Hyperlink"/>
    <w:uiPriority w:val="99"/>
    <w:unhideWhenUsed/>
    <w:rsid w:val="00155031"/>
    <w:rPr>
      <w:color w:val="0000FF"/>
      <w:u w:val="single"/>
    </w:rPr>
  </w:style>
  <w:style w:type="character" w:styleId="PlaceholderText">
    <w:name w:val="Placeholder Text"/>
    <w:uiPriority w:val="99"/>
    <w:semiHidden/>
    <w:rsid w:val="00DB2E3A"/>
    <w:rPr>
      <w:color w:val="808080"/>
    </w:rPr>
  </w:style>
  <w:style w:type="paragraph" w:styleId="BalloonText">
    <w:name w:val="Balloon Text"/>
    <w:basedOn w:val="Normal"/>
    <w:link w:val="BalloonTextChar"/>
    <w:uiPriority w:val="99"/>
    <w:semiHidden/>
    <w:unhideWhenUsed/>
    <w:rsid w:val="00DB2E3A"/>
    <w:rPr>
      <w:rFonts w:ascii="Tahoma" w:hAnsi="Tahoma" w:cs="Tahoma"/>
      <w:sz w:val="16"/>
      <w:szCs w:val="16"/>
    </w:rPr>
  </w:style>
  <w:style w:type="character" w:customStyle="1" w:styleId="BalloonTextChar">
    <w:name w:val="Balloon Text Char"/>
    <w:link w:val="BalloonText"/>
    <w:uiPriority w:val="99"/>
    <w:semiHidden/>
    <w:rsid w:val="00DB2E3A"/>
    <w:rPr>
      <w:rFonts w:ascii="Tahoma" w:eastAsia="Batang" w:hAnsi="Tahoma" w:cs="Tahoma"/>
      <w:sz w:val="16"/>
      <w:szCs w:val="16"/>
      <w:lang w:eastAsia="en-US"/>
    </w:rPr>
  </w:style>
  <w:style w:type="paragraph" w:styleId="Header">
    <w:name w:val="header"/>
    <w:basedOn w:val="Normal"/>
    <w:link w:val="HeaderChar"/>
    <w:uiPriority w:val="99"/>
    <w:unhideWhenUsed/>
    <w:rsid w:val="001B277C"/>
    <w:pPr>
      <w:tabs>
        <w:tab w:val="center" w:pos="4680"/>
        <w:tab w:val="right" w:pos="9360"/>
      </w:tabs>
    </w:pPr>
  </w:style>
  <w:style w:type="character" w:customStyle="1" w:styleId="HeaderChar">
    <w:name w:val="Header Char"/>
    <w:link w:val="Header"/>
    <w:uiPriority w:val="99"/>
    <w:rsid w:val="001B277C"/>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1B277C"/>
    <w:pPr>
      <w:tabs>
        <w:tab w:val="center" w:pos="4680"/>
        <w:tab w:val="right" w:pos="9360"/>
      </w:tabs>
    </w:pPr>
  </w:style>
  <w:style w:type="character" w:customStyle="1" w:styleId="FooterChar">
    <w:name w:val="Footer Char"/>
    <w:link w:val="Footer"/>
    <w:uiPriority w:val="99"/>
    <w:rsid w:val="001B277C"/>
    <w:rPr>
      <w:rFonts w:ascii="Times New Roman" w:eastAsia="Batang" w:hAnsi="Times New Roman" w:cs="Times New Roman"/>
      <w:sz w:val="24"/>
      <w:szCs w:val="24"/>
      <w:lang w:eastAsia="en-US"/>
    </w:rPr>
  </w:style>
  <w:style w:type="table" w:styleId="TableGrid">
    <w:name w:val="Table Grid"/>
    <w:basedOn w:val="TableNormal"/>
    <w:uiPriority w:val="59"/>
    <w:rsid w:val="007B1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1D3D"/>
    <w:pPr>
      <w:spacing w:before="100" w:beforeAutospacing="1" w:after="100" w:afterAutospacing="1"/>
    </w:pPr>
    <w:rPr>
      <w:rFonts w:eastAsia="Times New Roman"/>
      <w:lang w:eastAsia="ko-KR"/>
    </w:rPr>
  </w:style>
  <w:style w:type="character" w:customStyle="1" w:styleId="apple-converted-space">
    <w:name w:val="apple-converted-space"/>
    <w:basedOn w:val="DefaultParagraphFont"/>
    <w:rsid w:val="00051D3D"/>
  </w:style>
  <w:style w:type="paragraph" w:styleId="ListParagraph">
    <w:name w:val="List Paragraph"/>
    <w:basedOn w:val="Normal"/>
    <w:uiPriority w:val="34"/>
    <w:qFormat/>
    <w:rsid w:val="0004714E"/>
    <w:pPr>
      <w:ind w:left="720"/>
      <w:contextualSpacing/>
    </w:pPr>
  </w:style>
  <w:style w:type="character" w:styleId="CommentReference">
    <w:name w:val="annotation reference"/>
    <w:uiPriority w:val="99"/>
    <w:semiHidden/>
    <w:unhideWhenUsed/>
    <w:rsid w:val="004C15B5"/>
    <w:rPr>
      <w:sz w:val="16"/>
      <w:szCs w:val="16"/>
    </w:rPr>
  </w:style>
  <w:style w:type="paragraph" w:styleId="CommentText">
    <w:name w:val="annotation text"/>
    <w:basedOn w:val="Normal"/>
    <w:link w:val="CommentTextChar"/>
    <w:uiPriority w:val="99"/>
    <w:semiHidden/>
    <w:unhideWhenUsed/>
    <w:rsid w:val="004C15B5"/>
    <w:rPr>
      <w:sz w:val="20"/>
      <w:szCs w:val="20"/>
    </w:rPr>
  </w:style>
  <w:style w:type="character" w:customStyle="1" w:styleId="CommentTextChar">
    <w:name w:val="Comment Text Char"/>
    <w:link w:val="CommentText"/>
    <w:uiPriority w:val="99"/>
    <w:semiHidden/>
    <w:rsid w:val="004C15B5"/>
    <w:rPr>
      <w:rFonts w:ascii="Times New Roman" w:eastAsia="Batang"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15B5"/>
    <w:rPr>
      <w:b/>
      <w:bCs/>
    </w:rPr>
  </w:style>
  <w:style w:type="character" w:customStyle="1" w:styleId="CommentSubjectChar">
    <w:name w:val="Comment Subject Char"/>
    <w:link w:val="CommentSubject"/>
    <w:uiPriority w:val="99"/>
    <w:semiHidden/>
    <w:rsid w:val="004C15B5"/>
    <w:rPr>
      <w:rFonts w:ascii="Times New Roman" w:eastAsia="Batang" w:hAnsi="Times New Roman" w:cs="Times New Roman"/>
      <w:b/>
      <w:bCs/>
      <w:sz w:val="20"/>
      <w:szCs w:val="20"/>
      <w:lang w:eastAsia="en-US"/>
    </w:rPr>
  </w:style>
  <w:style w:type="character" w:styleId="FollowedHyperlink">
    <w:name w:val="FollowedHyperlink"/>
    <w:basedOn w:val="DefaultParagraphFont"/>
    <w:uiPriority w:val="99"/>
    <w:semiHidden/>
    <w:unhideWhenUsed/>
    <w:rsid w:val="00E51D00"/>
    <w:rPr>
      <w:color w:val="800080" w:themeColor="followedHyperlink"/>
      <w:u w:val="single"/>
    </w:rPr>
  </w:style>
  <w:style w:type="character" w:styleId="Strong">
    <w:name w:val="Strong"/>
    <w:basedOn w:val="DefaultParagraphFont"/>
    <w:uiPriority w:val="22"/>
    <w:qFormat/>
    <w:rsid w:val="007163DD"/>
    <w:rPr>
      <w:b/>
      <w:bCs/>
    </w:rPr>
  </w:style>
  <w:style w:type="paragraph" w:styleId="FootnoteText">
    <w:name w:val="footnote text"/>
    <w:basedOn w:val="Normal"/>
    <w:link w:val="FootnoteTextChar"/>
    <w:uiPriority w:val="99"/>
    <w:semiHidden/>
    <w:unhideWhenUsed/>
    <w:rsid w:val="0087487F"/>
    <w:rPr>
      <w:sz w:val="20"/>
      <w:szCs w:val="20"/>
    </w:rPr>
  </w:style>
  <w:style w:type="character" w:customStyle="1" w:styleId="FootnoteTextChar">
    <w:name w:val="Footnote Text Char"/>
    <w:basedOn w:val="DefaultParagraphFont"/>
    <w:link w:val="FootnoteText"/>
    <w:uiPriority w:val="99"/>
    <w:semiHidden/>
    <w:rsid w:val="0087487F"/>
    <w:rPr>
      <w:rFonts w:ascii="Times New Roman" w:eastAsia="Batang" w:hAnsi="Times New Roman"/>
      <w:lang w:eastAsia="en-US"/>
    </w:rPr>
  </w:style>
  <w:style w:type="character" w:styleId="FootnoteReference">
    <w:name w:val="footnote reference"/>
    <w:basedOn w:val="DefaultParagraphFont"/>
    <w:uiPriority w:val="99"/>
    <w:semiHidden/>
    <w:unhideWhenUsed/>
    <w:rsid w:val="0087487F"/>
    <w:rPr>
      <w:vertAlign w:val="superscript"/>
    </w:rPr>
  </w:style>
  <w:style w:type="paragraph" w:customStyle="1" w:styleId="Body">
    <w:name w:val="Body"/>
    <w:rsid w:val="00666E6E"/>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7157">
      <w:bodyDiv w:val="1"/>
      <w:marLeft w:val="0"/>
      <w:marRight w:val="0"/>
      <w:marTop w:val="0"/>
      <w:marBottom w:val="0"/>
      <w:divBdr>
        <w:top w:val="none" w:sz="0" w:space="0" w:color="auto"/>
        <w:left w:val="none" w:sz="0" w:space="0" w:color="auto"/>
        <w:bottom w:val="none" w:sz="0" w:space="0" w:color="auto"/>
        <w:right w:val="none" w:sz="0" w:space="0" w:color="auto"/>
      </w:divBdr>
    </w:div>
    <w:div w:id="327489934">
      <w:bodyDiv w:val="1"/>
      <w:marLeft w:val="0"/>
      <w:marRight w:val="0"/>
      <w:marTop w:val="0"/>
      <w:marBottom w:val="0"/>
      <w:divBdr>
        <w:top w:val="none" w:sz="0" w:space="0" w:color="auto"/>
        <w:left w:val="none" w:sz="0" w:space="0" w:color="auto"/>
        <w:bottom w:val="none" w:sz="0" w:space="0" w:color="auto"/>
        <w:right w:val="none" w:sz="0" w:space="0" w:color="auto"/>
      </w:divBdr>
      <w:divsChild>
        <w:div w:id="1752660117">
          <w:marLeft w:val="0"/>
          <w:marRight w:val="0"/>
          <w:marTop w:val="0"/>
          <w:marBottom w:val="0"/>
          <w:divBdr>
            <w:top w:val="none" w:sz="0" w:space="0" w:color="auto"/>
            <w:left w:val="none" w:sz="0" w:space="0" w:color="auto"/>
            <w:bottom w:val="none" w:sz="0" w:space="0" w:color="auto"/>
            <w:right w:val="none" w:sz="0" w:space="0" w:color="auto"/>
          </w:divBdr>
        </w:div>
      </w:divsChild>
    </w:div>
    <w:div w:id="353506513">
      <w:bodyDiv w:val="1"/>
      <w:marLeft w:val="0"/>
      <w:marRight w:val="0"/>
      <w:marTop w:val="0"/>
      <w:marBottom w:val="0"/>
      <w:divBdr>
        <w:top w:val="none" w:sz="0" w:space="0" w:color="auto"/>
        <w:left w:val="none" w:sz="0" w:space="0" w:color="auto"/>
        <w:bottom w:val="none" w:sz="0" w:space="0" w:color="auto"/>
        <w:right w:val="none" w:sz="0" w:space="0" w:color="auto"/>
      </w:divBdr>
    </w:div>
    <w:div w:id="391005536">
      <w:bodyDiv w:val="1"/>
      <w:marLeft w:val="0"/>
      <w:marRight w:val="0"/>
      <w:marTop w:val="0"/>
      <w:marBottom w:val="0"/>
      <w:divBdr>
        <w:top w:val="none" w:sz="0" w:space="0" w:color="auto"/>
        <w:left w:val="none" w:sz="0" w:space="0" w:color="auto"/>
        <w:bottom w:val="none" w:sz="0" w:space="0" w:color="auto"/>
        <w:right w:val="none" w:sz="0" w:space="0" w:color="auto"/>
      </w:divBdr>
    </w:div>
    <w:div w:id="632638552">
      <w:bodyDiv w:val="1"/>
      <w:marLeft w:val="0"/>
      <w:marRight w:val="0"/>
      <w:marTop w:val="0"/>
      <w:marBottom w:val="0"/>
      <w:divBdr>
        <w:top w:val="none" w:sz="0" w:space="0" w:color="auto"/>
        <w:left w:val="none" w:sz="0" w:space="0" w:color="auto"/>
        <w:bottom w:val="none" w:sz="0" w:space="0" w:color="auto"/>
        <w:right w:val="none" w:sz="0" w:space="0" w:color="auto"/>
      </w:divBdr>
    </w:div>
    <w:div w:id="911279768">
      <w:bodyDiv w:val="1"/>
      <w:marLeft w:val="0"/>
      <w:marRight w:val="0"/>
      <w:marTop w:val="0"/>
      <w:marBottom w:val="0"/>
      <w:divBdr>
        <w:top w:val="none" w:sz="0" w:space="0" w:color="auto"/>
        <w:left w:val="none" w:sz="0" w:space="0" w:color="auto"/>
        <w:bottom w:val="none" w:sz="0" w:space="0" w:color="auto"/>
        <w:right w:val="none" w:sz="0" w:space="0" w:color="auto"/>
      </w:divBdr>
    </w:div>
    <w:div w:id="1002122472">
      <w:bodyDiv w:val="1"/>
      <w:marLeft w:val="0"/>
      <w:marRight w:val="0"/>
      <w:marTop w:val="0"/>
      <w:marBottom w:val="0"/>
      <w:divBdr>
        <w:top w:val="none" w:sz="0" w:space="0" w:color="auto"/>
        <w:left w:val="none" w:sz="0" w:space="0" w:color="auto"/>
        <w:bottom w:val="none" w:sz="0" w:space="0" w:color="auto"/>
        <w:right w:val="none" w:sz="0" w:space="0" w:color="auto"/>
      </w:divBdr>
    </w:div>
    <w:div w:id="1080830098">
      <w:bodyDiv w:val="1"/>
      <w:marLeft w:val="0"/>
      <w:marRight w:val="0"/>
      <w:marTop w:val="0"/>
      <w:marBottom w:val="0"/>
      <w:divBdr>
        <w:top w:val="none" w:sz="0" w:space="0" w:color="auto"/>
        <w:left w:val="none" w:sz="0" w:space="0" w:color="auto"/>
        <w:bottom w:val="none" w:sz="0" w:space="0" w:color="auto"/>
        <w:right w:val="none" w:sz="0" w:space="0" w:color="auto"/>
      </w:divBdr>
    </w:div>
    <w:div w:id="1611278272">
      <w:bodyDiv w:val="1"/>
      <w:marLeft w:val="0"/>
      <w:marRight w:val="0"/>
      <w:marTop w:val="0"/>
      <w:marBottom w:val="0"/>
      <w:divBdr>
        <w:top w:val="none" w:sz="0" w:space="0" w:color="auto"/>
        <w:left w:val="none" w:sz="0" w:space="0" w:color="auto"/>
        <w:bottom w:val="none" w:sz="0" w:space="0" w:color="auto"/>
        <w:right w:val="none" w:sz="0" w:space="0" w:color="auto"/>
      </w:divBdr>
    </w:div>
    <w:div w:id="1632861242">
      <w:bodyDiv w:val="1"/>
      <w:marLeft w:val="0"/>
      <w:marRight w:val="0"/>
      <w:marTop w:val="0"/>
      <w:marBottom w:val="0"/>
      <w:divBdr>
        <w:top w:val="none" w:sz="0" w:space="0" w:color="auto"/>
        <w:left w:val="none" w:sz="0" w:space="0" w:color="auto"/>
        <w:bottom w:val="none" w:sz="0" w:space="0" w:color="auto"/>
        <w:right w:val="none" w:sz="0" w:space="0" w:color="auto"/>
      </w:divBdr>
    </w:div>
    <w:div w:id="1865174427">
      <w:bodyDiv w:val="1"/>
      <w:marLeft w:val="0"/>
      <w:marRight w:val="0"/>
      <w:marTop w:val="0"/>
      <w:marBottom w:val="0"/>
      <w:divBdr>
        <w:top w:val="none" w:sz="0" w:space="0" w:color="auto"/>
        <w:left w:val="none" w:sz="0" w:space="0" w:color="auto"/>
        <w:bottom w:val="none" w:sz="0" w:space="0" w:color="auto"/>
        <w:right w:val="none" w:sz="0" w:space="0" w:color="auto"/>
      </w:divBdr>
    </w:div>
    <w:div w:id="1963537536">
      <w:bodyDiv w:val="1"/>
      <w:marLeft w:val="0"/>
      <w:marRight w:val="0"/>
      <w:marTop w:val="0"/>
      <w:marBottom w:val="0"/>
      <w:divBdr>
        <w:top w:val="none" w:sz="0" w:space="0" w:color="auto"/>
        <w:left w:val="none" w:sz="0" w:space="0" w:color="auto"/>
        <w:bottom w:val="none" w:sz="0" w:space="0" w:color="auto"/>
        <w:right w:val="none" w:sz="0" w:space="0" w:color="auto"/>
      </w:divBdr>
      <w:divsChild>
        <w:div w:id="512913856">
          <w:marLeft w:val="0"/>
          <w:marRight w:val="0"/>
          <w:marTop w:val="0"/>
          <w:marBottom w:val="0"/>
          <w:divBdr>
            <w:top w:val="none" w:sz="0" w:space="0" w:color="auto"/>
            <w:left w:val="none" w:sz="0" w:space="0" w:color="auto"/>
            <w:bottom w:val="none" w:sz="0" w:space="0" w:color="auto"/>
            <w:right w:val="none" w:sz="0" w:space="0" w:color="auto"/>
          </w:divBdr>
        </w:div>
      </w:divsChild>
    </w:div>
    <w:div w:id="1993873544">
      <w:bodyDiv w:val="1"/>
      <w:marLeft w:val="0"/>
      <w:marRight w:val="0"/>
      <w:marTop w:val="0"/>
      <w:marBottom w:val="0"/>
      <w:divBdr>
        <w:top w:val="none" w:sz="0" w:space="0" w:color="auto"/>
        <w:left w:val="none" w:sz="0" w:space="0" w:color="auto"/>
        <w:bottom w:val="none" w:sz="0" w:space="0" w:color="auto"/>
        <w:right w:val="none" w:sz="0" w:space="0" w:color="auto"/>
      </w:divBdr>
      <w:divsChild>
        <w:div w:id="936786381">
          <w:marLeft w:val="0"/>
          <w:marRight w:val="0"/>
          <w:marTop w:val="0"/>
          <w:marBottom w:val="0"/>
          <w:divBdr>
            <w:top w:val="none" w:sz="0" w:space="0" w:color="auto"/>
            <w:left w:val="none" w:sz="0" w:space="0" w:color="auto"/>
            <w:bottom w:val="none" w:sz="0" w:space="0" w:color="auto"/>
            <w:right w:val="none" w:sz="0" w:space="0" w:color="auto"/>
          </w:divBdr>
        </w:div>
      </w:divsChild>
    </w:div>
    <w:div w:id="2020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banksinternational.com/" TargetMode="External"/><Relationship Id="rId13" Type="http://schemas.openxmlformats.org/officeDocument/2006/relationships/hyperlink" Target="http://dvn.iq.harvard.edu/dvn/dv/ep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erwww.service.emory.edu/~jkstato/papers/RiosStaton.pdf"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a.int/resources/databases.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agement.wharton.upenn.edu/henis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pers.ssrn.com/sol3/papers.cfm?abstract_id=1032647"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globalization.kof.ethz.ch/" TargetMode="External"/><Relationship Id="rId3" Type="http://schemas.openxmlformats.org/officeDocument/2006/relationships/hyperlink" Target="http://www.nesri.org/human-rights/economic-and-social-rights" TargetMode="External"/><Relationship Id="rId7" Type="http://schemas.openxmlformats.org/officeDocument/2006/relationships/hyperlink" Target="http://www.idea.int/vt/" TargetMode="External"/><Relationship Id="rId2" Type="http://schemas.openxmlformats.org/officeDocument/2006/relationships/hyperlink" Target="http://www.freedomhouse.org/report/freedom-world-2012/methodology" TargetMode="External"/><Relationship Id="rId1" Type="http://schemas.openxmlformats.org/officeDocument/2006/relationships/hyperlink" Target="http://ciri.binghamton.edu/documentation/ciri_variables_short_descriptions.pdf" TargetMode="External"/><Relationship Id="rId6" Type="http://schemas.openxmlformats.org/officeDocument/2006/relationships/hyperlink" Target="http://dss.princeton.edu/access_data/codebooks/banks.pdf" TargetMode="External"/><Relationship Id="rId5" Type="http://schemas.openxmlformats.org/officeDocument/2006/relationships/hyperlink" Target="http://www.databanksinternational.com/" TargetMode="External"/><Relationship Id="rId4" Type="http://schemas.openxmlformats.org/officeDocument/2006/relationships/hyperlink" Target="http://www.systemicpeace.org/inscr/p4manualv2010.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13346-0700-4050-9168-3DA5F7C6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59902</CharactersWithSpaces>
  <SharedDoc>false</SharedDoc>
  <HLinks>
    <vt:vector size="48" baseType="variant">
      <vt:variant>
        <vt:i4>720904</vt:i4>
      </vt:variant>
      <vt:variant>
        <vt:i4>21</vt:i4>
      </vt:variant>
      <vt:variant>
        <vt:i4>0</vt:i4>
      </vt:variant>
      <vt:variant>
        <vt:i4>5</vt:i4>
      </vt:variant>
      <vt:variant>
        <vt:lpwstr>http://globalization.kof.ethz.ch/</vt:lpwstr>
      </vt:variant>
      <vt:variant>
        <vt:lpwstr/>
      </vt:variant>
      <vt:variant>
        <vt:i4>5832831</vt:i4>
      </vt:variant>
      <vt:variant>
        <vt:i4>18</vt:i4>
      </vt:variant>
      <vt:variant>
        <vt:i4>0</vt:i4>
      </vt:variant>
      <vt:variant>
        <vt:i4>5</vt:i4>
      </vt:variant>
      <vt:variant>
        <vt:lpwstr>http://ciri.binghamton.edu/documentation/ciri_variables_short_descriptions.pdf</vt:lpwstr>
      </vt:variant>
      <vt:variant>
        <vt:lpwstr/>
      </vt:variant>
      <vt:variant>
        <vt:i4>3932222</vt:i4>
      </vt:variant>
      <vt:variant>
        <vt:i4>15</vt:i4>
      </vt:variant>
      <vt:variant>
        <vt:i4>0</vt:i4>
      </vt:variant>
      <vt:variant>
        <vt:i4>5</vt:i4>
      </vt:variant>
      <vt:variant>
        <vt:lpwstr>http://www.idea.int/vt/</vt:lpwstr>
      </vt:variant>
      <vt:variant>
        <vt:lpwstr/>
      </vt:variant>
      <vt:variant>
        <vt:i4>3473457</vt:i4>
      </vt:variant>
      <vt:variant>
        <vt:i4>12</vt:i4>
      </vt:variant>
      <vt:variant>
        <vt:i4>0</vt:i4>
      </vt:variant>
      <vt:variant>
        <vt:i4>5</vt:i4>
      </vt:variant>
      <vt:variant>
        <vt:lpwstr>http://www.databanksinternational.com/</vt:lpwstr>
      </vt:variant>
      <vt:variant>
        <vt:lpwstr/>
      </vt:variant>
      <vt:variant>
        <vt:i4>7471116</vt:i4>
      </vt:variant>
      <vt:variant>
        <vt:i4>9</vt:i4>
      </vt:variant>
      <vt:variant>
        <vt:i4>0</vt:i4>
      </vt:variant>
      <vt:variant>
        <vt:i4>5</vt:i4>
      </vt:variant>
      <vt:variant>
        <vt:lpwstr>http://dss.princeton.edu/access_data/codebooks/banks.pdf</vt:lpwstr>
      </vt:variant>
      <vt:variant>
        <vt:lpwstr/>
      </vt:variant>
      <vt:variant>
        <vt:i4>4259841</vt:i4>
      </vt:variant>
      <vt:variant>
        <vt:i4>6</vt:i4>
      </vt:variant>
      <vt:variant>
        <vt:i4>0</vt:i4>
      </vt:variant>
      <vt:variant>
        <vt:i4>5</vt:i4>
      </vt:variant>
      <vt:variant>
        <vt:lpwstr>http://www.systemicpeace.org/inscr/p4manualv2010.pdf</vt:lpwstr>
      </vt:variant>
      <vt:variant>
        <vt:lpwstr/>
      </vt:variant>
      <vt:variant>
        <vt:i4>5898262</vt:i4>
      </vt:variant>
      <vt:variant>
        <vt:i4>3</vt:i4>
      </vt:variant>
      <vt:variant>
        <vt:i4>0</vt:i4>
      </vt:variant>
      <vt:variant>
        <vt:i4>5</vt:i4>
      </vt:variant>
      <vt:variant>
        <vt:lpwstr>http://www.nesri.org/human-rights/economic-and-social-rights</vt:lpwstr>
      </vt:variant>
      <vt:variant>
        <vt:lpwstr/>
      </vt:variant>
      <vt:variant>
        <vt:i4>1376264</vt:i4>
      </vt:variant>
      <vt:variant>
        <vt:i4>0</vt:i4>
      </vt:variant>
      <vt:variant>
        <vt:i4>0</vt:i4>
      </vt:variant>
      <vt:variant>
        <vt:i4>5</vt:i4>
      </vt:variant>
      <vt:variant>
        <vt:lpwstr>http://www.freedomhouse.org/report/freedom-world-2012/methodology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2015-04-28T15:03:00Z</dcterms:created>
  <dcterms:modified xsi:type="dcterms:W3CDTF">2015-04-28T15:15:00Z</dcterms:modified>
</cp:coreProperties>
</file>