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center"/>
        <w:tblLook w:val="04A0" w:firstRow="1" w:lastRow="0" w:firstColumn="1" w:lastColumn="0" w:noHBand="0" w:noVBand="1"/>
      </w:tblPr>
      <w:tblGrid>
        <w:gridCol w:w="9360"/>
      </w:tblGrid>
      <w:tr w:rsidR="00AE09FA" w14:paraId="0239DBCD" w14:textId="77777777" w:rsidTr="0053678A">
        <w:trPr>
          <w:trHeight w:val="1440"/>
          <w:jc w:val="center"/>
        </w:trPr>
        <w:tc>
          <w:tcPr>
            <w:tcW w:w="5000" w:type="pct"/>
            <w:vAlign w:val="center"/>
          </w:tcPr>
          <w:p w14:paraId="76912F49" w14:textId="77777777" w:rsidR="00AE09FA" w:rsidRDefault="00AE09FA" w:rsidP="00AE09FA">
            <w:pPr>
              <w:autoSpaceDE w:val="0"/>
              <w:autoSpaceDN w:val="0"/>
              <w:adjustRightInd w:val="0"/>
              <w:spacing w:line="480" w:lineRule="auto"/>
              <w:jc w:val="center"/>
              <w:rPr>
                <w:b/>
                <w:sz w:val="28"/>
                <w:szCs w:val="28"/>
              </w:rPr>
            </w:pPr>
            <w:bookmarkStart w:id="0" w:name="_GoBack"/>
            <w:bookmarkEnd w:id="0"/>
            <w:r w:rsidRPr="00475E20">
              <w:rPr>
                <w:b/>
                <w:sz w:val="28"/>
                <w:szCs w:val="28"/>
              </w:rPr>
              <w:t>A Comparative Analysis of Inequality and Redistribution in Democracies</w:t>
            </w:r>
          </w:p>
          <w:p w14:paraId="7A40BBA3" w14:textId="206B621D" w:rsidR="008F49C0" w:rsidRPr="0053678A" w:rsidRDefault="008F49C0" w:rsidP="00AE09FA">
            <w:pPr>
              <w:autoSpaceDE w:val="0"/>
              <w:autoSpaceDN w:val="0"/>
              <w:adjustRightInd w:val="0"/>
              <w:spacing w:line="480" w:lineRule="auto"/>
              <w:jc w:val="center"/>
              <w:rPr>
                <w:b/>
              </w:rPr>
            </w:pPr>
            <w:r w:rsidRPr="0053678A">
              <w:rPr>
                <w:b/>
              </w:rPr>
              <w:t>Research Note</w:t>
            </w:r>
          </w:p>
          <w:p w14:paraId="3ACFE839" w14:textId="77777777" w:rsidR="00AE09FA" w:rsidRPr="00BA44C7" w:rsidRDefault="00AE09FA" w:rsidP="00AE09FA">
            <w:pPr>
              <w:pStyle w:val="NoSpacing"/>
              <w:rPr>
                <w:rFonts w:ascii="Times New Roman" w:hAnsi="Times New Roman"/>
                <w:bCs/>
                <w:color w:val="000000"/>
                <w:sz w:val="36"/>
                <w:szCs w:val="36"/>
                <w:shd w:val="clear" w:color="auto" w:fill="FFFFFF"/>
              </w:rPr>
            </w:pPr>
          </w:p>
          <w:p w14:paraId="550CB157" w14:textId="50193FD1" w:rsidR="00AE09FA" w:rsidRPr="00106AAD" w:rsidRDefault="00AE09FA" w:rsidP="00AE09FA">
            <w:pPr>
              <w:widowControl w:val="0"/>
              <w:autoSpaceDE w:val="0"/>
              <w:autoSpaceDN w:val="0"/>
              <w:adjustRightInd w:val="0"/>
              <w:spacing w:after="240"/>
              <w:jc w:val="both"/>
            </w:pPr>
            <w:r w:rsidRPr="00BA46A2">
              <w:rPr>
                <w:b/>
              </w:rPr>
              <w:t>Abstract</w:t>
            </w:r>
            <w:r>
              <w:t xml:space="preserve">: </w:t>
            </w:r>
            <w:r>
              <w:rPr>
                <w:szCs w:val="28"/>
              </w:rPr>
              <w:t xml:space="preserve">We </w:t>
            </w:r>
            <w:r>
              <w:rPr>
                <w:lang w:eastAsia="ko-KR"/>
              </w:rPr>
              <w:t>compare the relationship between inequality and redistribution over time as well as among clusters of developed and less developed countries, using a number of statistical models to address the complexity of the relationship</w:t>
            </w:r>
            <w:r w:rsidRPr="00A066CE">
              <w:rPr>
                <w:lang w:eastAsia="ko-KR"/>
              </w:rPr>
              <w:t xml:space="preserve">. </w:t>
            </w:r>
            <w:r w:rsidR="005140E0">
              <w:rPr>
                <w:szCs w:val="28"/>
              </w:rPr>
              <w:t xml:space="preserve">Despite producing a voluminous literature on the topic, </w:t>
            </w:r>
            <w:r w:rsidR="003A4311" w:rsidRPr="003D2DE9">
              <w:rPr>
                <w:szCs w:val="28"/>
              </w:rPr>
              <w:t xml:space="preserve">few </w:t>
            </w:r>
            <w:r w:rsidR="003A4311">
              <w:rPr>
                <w:szCs w:val="28"/>
              </w:rPr>
              <w:t xml:space="preserve">scholars </w:t>
            </w:r>
            <w:r w:rsidR="003A4311" w:rsidRPr="003D2DE9">
              <w:rPr>
                <w:szCs w:val="28"/>
              </w:rPr>
              <w:t xml:space="preserve">acknowledge </w:t>
            </w:r>
            <w:r w:rsidR="003A4311" w:rsidRPr="003D2DE9">
              <w:rPr>
                <w:lang w:eastAsia="ko-KR"/>
              </w:rPr>
              <w:t>heterogeneity</w:t>
            </w:r>
            <w:r w:rsidR="00E67E73">
              <w:rPr>
                <w:lang w:eastAsia="ko-KR"/>
              </w:rPr>
              <w:t xml:space="preserve"> </w:t>
            </w:r>
            <w:r w:rsidR="003A4311" w:rsidRPr="003D2DE9">
              <w:rPr>
                <w:lang w:eastAsia="ko-KR"/>
              </w:rPr>
              <w:t xml:space="preserve">in the relationship across </w:t>
            </w:r>
            <w:r w:rsidR="00F033CB">
              <w:rPr>
                <w:lang w:eastAsia="ko-KR"/>
              </w:rPr>
              <w:t>space and time</w:t>
            </w:r>
            <w:r w:rsidR="003A4311">
              <w:rPr>
                <w:lang w:eastAsia="ko-KR"/>
              </w:rPr>
              <w:t xml:space="preserve"> </w:t>
            </w:r>
            <w:r w:rsidR="004C4445">
              <w:rPr>
                <w:lang w:eastAsia="ko-KR"/>
              </w:rPr>
              <w:t>or</w:t>
            </w:r>
            <w:r w:rsidR="005140E0" w:rsidRPr="00991010">
              <w:rPr>
                <w:szCs w:val="28"/>
              </w:rPr>
              <w:t xml:space="preserve"> </w:t>
            </w:r>
            <w:r w:rsidR="00FA241F">
              <w:rPr>
                <w:szCs w:val="28"/>
              </w:rPr>
              <w:t>use</w:t>
            </w:r>
            <w:r w:rsidR="005140E0" w:rsidRPr="00991010">
              <w:rPr>
                <w:szCs w:val="28"/>
              </w:rPr>
              <w:t xml:space="preserve"> data </w:t>
            </w:r>
            <w:r w:rsidR="00F033CB">
              <w:rPr>
                <w:szCs w:val="28"/>
              </w:rPr>
              <w:t>on government redistribution and income</w:t>
            </w:r>
            <w:r w:rsidR="006C5FBA">
              <w:rPr>
                <w:szCs w:val="28"/>
              </w:rPr>
              <w:t xml:space="preserve"> inequality</w:t>
            </w:r>
            <w:r w:rsidR="00F033CB">
              <w:rPr>
                <w:szCs w:val="28"/>
              </w:rPr>
              <w:t xml:space="preserve"> </w:t>
            </w:r>
            <w:r w:rsidR="005140E0">
              <w:rPr>
                <w:szCs w:val="28"/>
              </w:rPr>
              <w:t xml:space="preserve">that </w:t>
            </w:r>
            <w:r w:rsidR="005140E0" w:rsidRPr="00991010">
              <w:rPr>
                <w:szCs w:val="28"/>
              </w:rPr>
              <w:t>is comparable cross-nationally.</w:t>
            </w:r>
            <w:r w:rsidR="005140E0">
              <w:rPr>
                <w:szCs w:val="28"/>
              </w:rPr>
              <w:t xml:space="preserve"> Our</w:t>
            </w:r>
            <w:r>
              <w:rPr>
                <w:lang w:eastAsia="ko-KR"/>
              </w:rPr>
              <w:t xml:space="preserve"> study uncovers a positive, short-term association between inequality and redistribution, controlling for endogeneity between redistribution and market income inequality. </w:t>
            </w:r>
            <w:r>
              <w:t xml:space="preserve">Long term, inequality also increases redistribution in developed democracies, but </w:t>
            </w:r>
            <w:r w:rsidR="00286F05">
              <w:t xml:space="preserve">appears to </w:t>
            </w:r>
            <w:r>
              <w:t xml:space="preserve">decrease </w:t>
            </w:r>
            <w:r w:rsidR="00286F05">
              <w:t xml:space="preserve">it </w:t>
            </w:r>
            <w:r>
              <w:t>in a number of developing nations</w:t>
            </w:r>
            <w:r>
              <w:rPr>
                <w:lang w:eastAsia="ko-KR"/>
              </w:rPr>
              <w:t>.</w:t>
            </w:r>
          </w:p>
          <w:p w14:paraId="62FC4041" w14:textId="77777777" w:rsidR="00AE09FA" w:rsidRPr="00BA46A2" w:rsidRDefault="00AE09FA" w:rsidP="00AE09FA">
            <w:pPr>
              <w:pStyle w:val="NoSpacing"/>
              <w:rPr>
                <w:rFonts w:ascii="Times New Roman" w:hAnsi="Times New Roman"/>
                <w:sz w:val="36"/>
                <w:szCs w:val="36"/>
              </w:rPr>
            </w:pPr>
          </w:p>
        </w:tc>
      </w:tr>
    </w:tbl>
    <w:p w14:paraId="00B20751" w14:textId="77777777" w:rsidR="00AE09FA" w:rsidRDefault="00AE09FA" w:rsidP="00AE09FA"/>
    <w:tbl>
      <w:tblPr>
        <w:tblW w:w="0" w:type="auto"/>
        <w:tblInd w:w="2085" w:type="dxa"/>
        <w:tblLook w:val="04A0" w:firstRow="1" w:lastRow="0" w:firstColumn="1" w:lastColumn="0" w:noHBand="0" w:noVBand="1"/>
      </w:tblPr>
      <w:tblGrid>
        <w:gridCol w:w="3016"/>
        <w:gridCol w:w="3016"/>
      </w:tblGrid>
      <w:tr w:rsidR="00B508B8" w:rsidRPr="00643161" w14:paraId="1BC0EE0A" w14:textId="77777777" w:rsidTr="00FD2BAA">
        <w:trPr>
          <w:trHeight w:val="315"/>
        </w:trPr>
        <w:tc>
          <w:tcPr>
            <w:tcW w:w="0" w:type="auto"/>
            <w:tcBorders>
              <w:top w:val="nil"/>
              <w:left w:val="nil"/>
              <w:bottom w:val="nil"/>
              <w:right w:val="nil"/>
            </w:tcBorders>
            <w:shd w:val="clear" w:color="auto" w:fill="auto"/>
            <w:noWrap/>
            <w:vAlign w:val="bottom"/>
            <w:hideMark/>
          </w:tcPr>
          <w:p w14:paraId="4F57F685" w14:textId="77777777" w:rsidR="00B508B8" w:rsidRPr="00643161" w:rsidRDefault="00B508B8" w:rsidP="00FD2BAA">
            <w:pPr>
              <w:rPr>
                <w:color w:val="000000"/>
              </w:rPr>
            </w:pPr>
            <w:r w:rsidRPr="00643161">
              <w:rPr>
                <w:color w:val="000000"/>
              </w:rPr>
              <w:t>José Alemán</w:t>
            </w:r>
          </w:p>
        </w:tc>
        <w:tc>
          <w:tcPr>
            <w:tcW w:w="0" w:type="auto"/>
            <w:tcBorders>
              <w:top w:val="nil"/>
              <w:left w:val="nil"/>
              <w:bottom w:val="nil"/>
              <w:right w:val="nil"/>
            </w:tcBorders>
            <w:shd w:val="clear" w:color="auto" w:fill="auto"/>
            <w:noWrap/>
            <w:vAlign w:val="bottom"/>
            <w:hideMark/>
          </w:tcPr>
          <w:p w14:paraId="7C992F85" w14:textId="77777777" w:rsidR="00B508B8" w:rsidRPr="00643161" w:rsidRDefault="00B508B8" w:rsidP="00FD2BAA">
            <w:pPr>
              <w:rPr>
                <w:color w:val="000000"/>
              </w:rPr>
            </w:pPr>
            <w:r w:rsidRPr="00643161">
              <w:rPr>
                <w:color w:val="000000"/>
              </w:rPr>
              <w:t>Dwayne Woods</w:t>
            </w:r>
            <w:r>
              <w:rPr>
                <w:color w:val="000000"/>
              </w:rPr>
              <w:t>*</w:t>
            </w:r>
          </w:p>
        </w:tc>
      </w:tr>
      <w:tr w:rsidR="00B508B8" w:rsidRPr="00643161" w14:paraId="3B86205F" w14:textId="77777777" w:rsidTr="00FD2BAA">
        <w:trPr>
          <w:trHeight w:val="315"/>
        </w:trPr>
        <w:tc>
          <w:tcPr>
            <w:tcW w:w="0" w:type="auto"/>
            <w:tcBorders>
              <w:top w:val="nil"/>
              <w:left w:val="nil"/>
              <w:bottom w:val="nil"/>
              <w:right w:val="nil"/>
            </w:tcBorders>
            <w:shd w:val="clear" w:color="auto" w:fill="auto"/>
            <w:noWrap/>
            <w:vAlign w:val="bottom"/>
            <w:hideMark/>
          </w:tcPr>
          <w:p w14:paraId="5378BEB0" w14:textId="77777777" w:rsidR="00B508B8" w:rsidRPr="00643161" w:rsidRDefault="00B508B8" w:rsidP="00FD2BAA">
            <w:pPr>
              <w:rPr>
                <w:color w:val="000000"/>
              </w:rPr>
            </w:pPr>
            <w:r w:rsidRPr="00643161">
              <w:rPr>
                <w:color w:val="000000"/>
              </w:rPr>
              <w:t>Associate Professor</w:t>
            </w:r>
          </w:p>
        </w:tc>
        <w:tc>
          <w:tcPr>
            <w:tcW w:w="0" w:type="auto"/>
            <w:tcBorders>
              <w:top w:val="nil"/>
              <w:left w:val="nil"/>
              <w:bottom w:val="nil"/>
              <w:right w:val="nil"/>
            </w:tcBorders>
            <w:shd w:val="clear" w:color="auto" w:fill="auto"/>
            <w:noWrap/>
            <w:vAlign w:val="bottom"/>
            <w:hideMark/>
          </w:tcPr>
          <w:p w14:paraId="5A384399" w14:textId="77777777" w:rsidR="00B508B8" w:rsidRPr="00643161" w:rsidRDefault="00B508B8" w:rsidP="00FD2BAA">
            <w:pPr>
              <w:rPr>
                <w:color w:val="000000"/>
              </w:rPr>
            </w:pPr>
            <w:r w:rsidRPr="00643161">
              <w:rPr>
                <w:color w:val="000000"/>
              </w:rPr>
              <w:t>Professor</w:t>
            </w:r>
          </w:p>
        </w:tc>
      </w:tr>
      <w:tr w:rsidR="00B508B8" w:rsidRPr="00643161" w14:paraId="405458FB" w14:textId="77777777" w:rsidTr="00FD2BAA">
        <w:trPr>
          <w:trHeight w:val="315"/>
        </w:trPr>
        <w:tc>
          <w:tcPr>
            <w:tcW w:w="0" w:type="auto"/>
            <w:tcBorders>
              <w:top w:val="nil"/>
              <w:left w:val="nil"/>
              <w:bottom w:val="nil"/>
              <w:right w:val="nil"/>
            </w:tcBorders>
            <w:shd w:val="clear" w:color="auto" w:fill="auto"/>
            <w:noWrap/>
            <w:vAlign w:val="bottom"/>
            <w:hideMark/>
          </w:tcPr>
          <w:p w14:paraId="2394A38C" w14:textId="77777777" w:rsidR="00B508B8" w:rsidRPr="00643161" w:rsidRDefault="00B508B8" w:rsidP="00FD2BAA">
            <w:pPr>
              <w:rPr>
                <w:color w:val="000000"/>
              </w:rPr>
            </w:pPr>
            <w:r w:rsidRPr="00643161">
              <w:rPr>
                <w:color w:val="000000"/>
              </w:rPr>
              <w:t>Political Science Department</w:t>
            </w:r>
          </w:p>
        </w:tc>
        <w:tc>
          <w:tcPr>
            <w:tcW w:w="0" w:type="auto"/>
            <w:tcBorders>
              <w:top w:val="nil"/>
              <w:left w:val="nil"/>
              <w:bottom w:val="nil"/>
              <w:right w:val="nil"/>
            </w:tcBorders>
            <w:shd w:val="clear" w:color="auto" w:fill="auto"/>
            <w:noWrap/>
            <w:vAlign w:val="bottom"/>
            <w:hideMark/>
          </w:tcPr>
          <w:p w14:paraId="1852ECD5" w14:textId="77777777" w:rsidR="00B508B8" w:rsidRPr="00643161" w:rsidRDefault="00B508B8" w:rsidP="00FD2BAA">
            <w:pPr>
              <w:rPr>
                <w:color w:val="000000"/>
              </w:rPr>
            </w:pPr>
            <w:r w:rsidRPr="00643161">
              <w:rPr>
                <w:color w:val="000000"/>
              </w:rPr>
              <w:t>Political Science Department</w:t>
            </w:r>
          </w:p>
        </w:tc>
      </w:tr>
      <w:tr w:rsidR="00B508B8" w:rsidRPr="00643161" w14:paraId="52DB44CF" w14:textId="77777777" w:rsidTr="00FD2BAA">
        <w:trPr>
          <w:trHeight w:val="315"/>
        </w:trPr>
        <w:tc>
          <w:tcPr>
            <w:tcW w:w="0" w:type="auto"/>
            <w:tcBorders>
              <w:top w:val="nil"/>
              <w:left w:val="nil"/>
              <w:bottom w:val="nil"/>
              <w:right w:val="nil"/>
            </w:tcBorders>
            <w:shd w:val="clear" w:color="auto" w:fill="auto"/>
            <w:noWrap/>
            <w:vAlign w:val="bottom"/>
            <w:hideMark/>
          </w:tcPr>
          <w:p w14:paraId="7EE67876" w14:textId="77777777" w:rsidR="00B508B8" w:rsidRPr="00643161" w:rsidRDefault="00B508B8" w:rsidP="00FD2BAA">
            <w:pPr>
              <w:rPr>
                <w:color w:val="000000"/>
              </w:rPr>
            </w:pPr>
            <w:r w:rsidRPr="00643161">
              <w:rPr>
                <w:color w:val="000000"/>
              </w:rPr>
              <w:t>Fordham University</w:t>
            </w:r>
          </w:p>
        </w:tc>
        <w:tc>
          <w:tcPr>
            <w:tcW w:w="0" w:type="auto"/>
            <w:tcBorders>
              <w:top w:val="nil"/>
              <w:left w:val="nil"/>
              <w:bottom w:val="nil"/>
              <w:right w:val="nil"/>
            </w:tcBorders>
            <w:shd w:val="clear" w:color="auto" w:fill="auto"/>
            <w:noWrap/>
            <w:vAlign w:val="bottom"/>
            <w:hideMark/>
          </w:tcPr>
          <w:p w14:paraId="6AA83A8E" w14:textId="77777777" w:rsidR="00B508B8" w:rsidRPr="00643161" w:rsidRDefault="00B508B8" w:rsidP="00FD2BAA">
            <w:pPr>
              <w:rPr>
                <w:color w:val="000000"/>
              </w:rPr>
            </w:pPr>
            <w:r w:rsidRPr="00643161">
              <w:rPr>
                <w:color w:val="000000"/>
              </w:rPr>
              <w:t>Purdue University</w:t>
            </w:r>
          </w:p>
        </w:tc>
      </w:tr>
      <w:tr w:rsidR="00B508B8" w:rsidRPr="00643161" w14:paraId="30A213C6" w14:textId="77777777" w:rsidTr="00FD2BAA">
        <w:trPr>
          <w:trHeight w:val="315"/>
        </w:trPr>
        <w:tc>
          <w:tcPr>
            <w:tcW w:w="0" w:type="auto"/>
            <w:tcBorders>
              <w:top w:val="nil"/>
              <w:left w:val="nil"/>
              <w:bottom w:val="nil"/>
              <w:right w:val="nil"/>
            </w:tcBorders>
            <w:shd w:val="clear" w:color="auto" w:fill="auto"/>
            <w:noWrap/>
            <w:vAlign w:val="bottom"/>
            <w:hideMark/>
          </w:tcPr>
          <w:p w14:paraId="40EB9044" w14:textId="77777777" w:rsidR="00B508B8" w:rsidRPr="00643161" w:rsidRDefault="00B508B8" w:rsidP="00FD2BAA">
            <w:pPr>
              <w:rPr>
                <w:color w:val="000000"/>
              </w:rPr>
            </w:pPr>
            <w:r w:rsidRPr="00643161">
              <w:rPr>
                <w:color w:val="000000"/>
              </w:rPr>
              <w:t>441 East Fordham Road</w:t>
            </w:r>
          </w:p>
        </w:tc>
        <w:tc>
          <w:tcPr>
            <w:tcW w:w="0" w:type="auto"/>
            <w:tcBorders>
              <w:top w:val="nil"/>
              <w:left w:val="nil"/>
              <w:bottom w:val="nil"/>
              <w:right w:val="nil"/>
            </w:tcBorders>
            <w:shd w:val="clear" w:color="auto" w:fill="auto"/>
            <w:noWrap/>
            <w:vAlign w:val="bottom"/>
            <w:hideMark/>
          </w:tcPr>
          <w:p w14:paraId="280A5D17" w14:textId="77777777" w:rsidR="00B508B8" w:rsidRPr="00643161" w:rsidRDefault="00B508B8" w:rsidP="00FD2BAA">
            <w:pPr>
              <w:rPr>
                <w:color w:val="000000"/>
              </w:rPr>
            </w:pPr>
            <w:r w:rsidRPr="00643161">
              <w:rPr>
                <w:color w:val="000000"/>
              </w:rPr>
              <w:t>Bearing Hall 2238</w:t>
            </w:r>
          </w:p>
        </w:tc>
      </w:tr>
      <w:tr w:rsidR="00B508B8" w:rsidRPr="00643161" w14:paraId="7B72C1B9" w14:textId="77777777" w:rsidTr="00FD2BAA">
        <w:trPr>
          <w:trHeight w:val="315"/>
        </w:trPr>
        <w:tc>
          <w:tcPr>
            <w:tcW w:w="0" w:type="auto"/>
            <w:tcBorders>
              <w:top w:val="nil"/>
              <w:left w:val="nil"/>
              <w:bottom w:val="nil"/>
              <w:right w:val="nil"/>
            </w:tcBorders>
            <w:shd w:val="clear" w:color="auto" w:fill="auto"/>
            <w:noWrap/>
            <w:vAlign w:val="bottom"/>
            <w:hideMark/>
          </w:tcPr>
          <w:p w14:paraId="54DD534B" w14:textId="77777777" w:rsidR="00B508B8" w:rsidRPr="00643161" w:rsidRDefault="00B508B8" w:rsidP="00FD2BAA">
            <w:pPr>
              <w:rPr>
                <w:color w:val="000000"/>
              </w:rPr>
            </w:pPr>
            <w:r w:rsidRPr="00643161">
              <w:rPr>
                <w:color w:val="000000"/>
              </w:rPr>
              <w:t>Bronx, NY 10458</w:t>
            </w:r>
          </w:p>
        </w:tc>
        <w:tc>
          <w:tcPr>
            <w:tcW w:w="0" w:type="auto"/>
            <w:tcBorders>
              <w:top w:val="nil"/>
              <w:left w:val="nil"/>
              <w:bottom w:val="nil"/>
              <w:right w:val="nil"/>
            </w:tcBorders>
            <w:shd w:val="clear" w:color="auto" w:fill="auto"/>
            <w:noWrap/>
            <w:vAlign w:val="bottom"/>
            <w:hideMark/>
          </w:tcPr>
          <w:p w14:paraId="49D13F35" w14:textId="77777777" w:rsidR="00B508B8" w:rsidRPr="00643161" w:rsidRDefault="00B508B8" w:rsidP="00FD2BAA">
            <w:pPr>
              <w:rPr>
                <w:color w:val="000000"/>
              </w:rPr>
            </w:pPr>
            <w:r w:rsidRPr="00643161">
              <w:rPr>
                <w:color w:val="000000"/>
              </w:rPr>
              <w:t>West Lafayette, Ind. 47907</w:t>
            </w:r>
          </w:p>
        </w:tc>
      </w:tr>
      <w:tr w:rsidR="00B508B8" w:rsidRPr="00643161" w14:paraId="554F7745" w14:textId="77777777" w:rsidTr="00FD2BAA">
        <w:trPr>
          <w:trHeight w:val="315"/>
        </w:trPr>
        <w:tc>
          <w:tcPr>
            <w:tcW w:w="0" w:type="auto"/>
            <w:tcBorders>
              <w:top w:val="nil"/>
              <w:left w:val="nil"/>
              <w:bottom w:val="nil"/>
              <w:right w:val="nil"/>
            </w:tcBorders>
            <w:shd w:val="clear" w:color="auto" w:fill="auto"/>
            <w:noWrap/>
            <w:vAlign w:val="bottom"/>
            <w:hideMark/>
          </w:tcPr>
          <w:p w14:paraId="7C7EBE81" w14:textId="77777777" w:rsidR="00B508B8" w:rsidRPr="00643161" w:rsidRDefault="00B508B8" w:rsidP="00FD2BAA">
            <w:pPr>
              <w:rPr>
                <w:color w:val="000000"/>
              </w:rPr>
            </w:pPr>
            <w:r w:rsidRPr="00643161">
              <w:rPr>
                <w:color w:val="000000"/>
              </w:rPr>
              <w:t>718.817.3955</w:t>
            </w:r>
          </w:p>
        </w:tc>
        <w:tc>
          <w:tcPr>
            <w:tcW w:w="0" w:type="auto"/>
            <w:tcBorders>
              <w:top w:val="nil"/>
              <w:left w:val="nil"/>
              <w:bottom w:val="nil"/>
              <w:right w:val="nil"/>
            </w:tcBorders>
            <w:shd w:val="clear" w:color="auto" w:fill="auto"/>
            <w:noWrap/>
            <w:vAlign w:val="bottom"/>
            <w:hideMark/>
          </w:tcPr>
          <w:p w14:paraId="255F5513" w14:textId="77777777" w:rsidR="00B508B8" w:rsidRPr="00643161" w:rsidRDefault="00B508B8" w:rsidP="00FD2BAA">
            <w:pPr>
              <w:rPr>
                <w:color w:val="000000"/>
              </w:rPr>
            </w:pPr>
            <w:r w:rsidRPr="00643161">
              <w:rPr>
                <w:color w:val="000000"/>
              </w:rPr>
              <w:t>(765) 494-4161</w:t>
            </w:r>
          </w:p>
        </w:tc>
      </w:tr>
      <w:tr w:rsidR="00B508B8" w:rsidRPr="00643161" w14:paraId="747A8142" w14:textId="77777777" w:rsidTr="00FD2BAA">
        <w:trPr>
          <w:trHeight w:val="300"/>
        </w:trPr>
        <w:tc>
          <w:tcPr>
            <w:tcW w:w="0" w:type="auto"/>
            <w:tcBorders>
              <w:top w:val="nil"/>
              <w:left w:val="nil"/>
              <w:bottom w:val="nil"/>
              <w:right w:val="nil"/>
            </w:tcBorders>
            <w:shd w:val="clear" w:color="auto" w:fill="auto"/>
            <w:noWrap/>
            <w:vAlign w:val="bottom"/>
            <w:hideMark/>
          </w:tcPr>
          <w:p w14:paraId="649F62D6" w14:textId="77777777" w:rsidR="00B508B8" w:rsidRPr="00643161" w:rsidRDefault="00101683" w:rsidP="00FD2BAA">
            <w:pPr>
              <w:rPr>
                <w:color w:val="0000FF"/>
                <w:u w:val="single"/>
              </w:rPr>
            </w:pPr>
            <w:hyperlink r:id="rId8" w:history="1">
              <w:r w:rsidR="00B508B8" w:rsidRPr="00643161">
                <w:rPr>
                  <w:color w:val="0000FF"/>
                  <w:u w:val="single"/>
                </w:rPr>
                <w:t>aleman@fordham.edu</w:t>
              </w:r>
            </w:hyperlink>
          </w:p>
        </w:tc>
        <w:tc>
          <w:tcPr>
            <w:tcW w:w="0" w:type="auto"/>
            <w:tcBorders>
              <w:top w:val="nil"/>
              <w:left w:val="nil"/>
              <w:bottom w:val="nil"/>
              <w:right w:val="nil"/>
            </w:tcBorders>
            <w:shd w:val="clear" w:color="auto" w:fill="auto"/>
            <w:noWrap/>
            <w:vAlign w:val="bottom"/>
            <w:hideMark/>
          </w:tcPr>
          <w:p w14:paraId="519FA49A" w14:textId="77777777" w:rsidR="00B508B8" w:rsidRPr="00643161" w:rsidRDefault="00101683" w:rsidP="00FD2BAA">
            <w:pPr>
              <w:rPr>
                <w:color w:val="0000FF"/>
                <w:u w:val="single"/>
              </w:rPr>
            </w:pPr>
            <w:hyperlink r:id="rId9" w:history="1">
              <w:r w:rsidR="00B508B8" w:rsidRPr="00643161">
                <w:rPr>
                  <w:color w:val="0000FF"/>
                  <w:u w:val="single"/>
                </w:rPr>
                <w:t>dwoods2@purdue.edu</w:t>
              </w:r>
            </w:hyperlink>
          </w:p>
        </w:tc>
      </w:tr>
    </w:tbl>
    <w:p w14:paraId="63B0D697" w14:textId="77777777" w:rsidR="00AE09FA" w:rsidRDefault="00AE09FA" w:rsidP="00AE09FA">
      <w:pPr>
        <w:autoSpaceDE w:val="0"/>
        <w:autoSpaceDN w:val="0"/>
        <w:adjustRightInd w:val="0"/>
        <w:spacing w:line="480" w:lineRule="auto"/>
        <w:jc w:val="center"/>
        <w:rPr>
          <w:b/>
          <w:szCs w:val="28"/>
        </w:rPr>
      </w:pPr>
    </w:p>
    <w:p w14:paraId="122554B9" w14:textId="77777777" w:rsidR="00AE09FA" w:rsidRDefault="00AE09FA" w:rsidP="00AE09FA">
      <w:pPr>
        <w:rPr>
          <w:szCs w:val="28"/>
        </w:rPr>
      </w:pPr>
    </w:p>
    <w:p w14:paraId="3D2FE5F8" w14:textId="77777777" w:rsidR="00AE09FA" w:rsidRDefault="00AE09FA" w:rsidP="00AE09FA">
      <w:pPr>
        <w:rPr>
          <w:szCs w:val="28"/>
        </w:rPr>
      </w:pPr>
    </w:p>
    <w:p w14:paraId="71962DBD" w14:textId="77777777" w:rsidR="00AE09FA" w:rsidRDefault="00AE09FA" w:rsidP="00AE09FA">
      <w:pPr>
        <w:rPr>
          <w:szCs w:val="28"/>
        </w:rPr>
      </w:pPr>
    </w:p>
    <w:p w14:paraId="296592EA" w14:textId="77777777" w:rsidR="00AE09FA" w:rsidRDefault="00AE09FA" w:rsidP="00AE09FA">
      <w:pPr>
        <w:rPr>
          <w:szCs w:val="28"/>
        </w:rPr>
      </w:pPr>
    </w:p>
    <w:p w14:paraId="38C1DA2C" w14:textId="77777777" w:rsidR="00AE09FA" w:rsidRDefault="00AE09FA" w:rsidP="00AE09FA">
      <w:pPr>
        <w:rPr>
          <w:szCs w:val="28"/>
        </w:rPr>
      </w:pPr>
    </w:p>
    <w:p w14:paraId="1D4A5D19" w14:textId="10519FC5" w:rsidR="00AE09FA" w:rsidRDefault="00AE09FA" w:rsidP="00AE09FA">
      <w:pPr>
        <w:keepNext/>
        <w:rPr>
          <w:szCs w:val="28"/>
        </w:rPr>
      </w:pPr>
      <w:r>
        <w:rPr>
          <w:szCs w:val="28"/>
        </w:rPr>
        <w:t xml:space="preserve">*We would like to thank Oscar Torres-Reyna and Michelle Dion for their collaboration with one of the authors in the early stages of this project. We also acknowledge the help provided by </w:t>
      </w:r>
      <w:r w:rsidRPr="005C10D5">
        <w:rPr>
          <w:szCs w:val="28"/>
        </w:rPr>
        <w:t>Meshri Ettolba</w:t>
      </w:r>
      <w:r>
        <w:rPr>
          <w:szCs w:val="28"/>
        </w:rPr>
        <w:t xml:space="preserve">, Cyrus </w:t>
      </w:r>
      <w:r w:rsidR="000F1EAD">
        <w:rPr>
          <w:szCs w:val="28"/>
        </w:rPr>
        <w:t>Samii</w:t>
      </w:r>
      <w:r>
        <w:rPr>
          <w:szCs w:val="28"/>
        </w:rPr>
        <w:t xml:space="preserve">, Torben Iversen, Philip Shaw, Nate Silver, </w:t>
      </w:r>
      <w:r w:rsidRPr="006C5FBA">
        <w:rPr>
          <w:szCs w:val="28"/>
        </w:rPr>
        <w:t>Mathew Lebo</w:t>
      </w:r>
      <w:r>
        <w:rPr>
          <w:szCs w:val="28"/>
        </w:rPr>
        <w:t>, Federico Podestà, Hrishikesh</w:t>
      </w:r>
      <w:r w:rsidRPr="005C10D5">
        <w:rPr>
          <w:szCs w:val="28"/>
        </w:rPr>
        <w:t xml:space="preserve"> D. Vinod</w:t>
      </w:r>
      <w:r>
        <w:rPr>
          <w:szCs w:val="28"/>
        </w:rPr>
        <w:t xml:space="preserve">, Justin </w:t>
      </w:r>
      <w:r w:rsidR="000F1EAD">
        <w:rPr>
          <w:szCs w:val="28"/>
        </w:rPr>
        <w:t>Esarey</w:t>
      </w:r>
      <w:r>
        <w:rPr>
          <w:szCs w:val="28"/>
        </w:rPr>
        <w:t xml:space="preserve"> and Nathan Kelly with various technical questions, as well as feedback from Idalia </w:t>
      </w:r>
      <w:r w:rsidR="000F1EAD">
        <w:rPr>
          <w:szCs w:val="28"/>
        </w:rPr>
        <w:t>Bastiaens</w:t>
      </w:r>
      <w:r>
        <w:rPr>
          <w:szCs w:val="28"/>
        </w:rPr>
        <w:t xml:space="preserve">, Vincent Mahler, </w:t>
      </w:r>
      <w:r w:rsidRPr="006C5FBA">
        <w:rPr>
          <w:szCs w:val="28"/>
        </w:rPr>
        <w:t>and Matthew Lebo</w:t>
      </w:r>
      <w:r>
        <w:rPr>
          <w:szCs w:val="28"/>
        </w:rPr>
        <w:t>. The usual disclaimers apply.</w:t>
      </w:r>
    </w:p>
    <w:p w14:paraId="4AA7CACC" w14:textId="77777777" w:rsidR="00AE09FA" w:rsidRDefault="00AE09FA">
      <w:pPr>
        <w:rPr>
          <w:szCs w:val="28"/>
        </w:rPr>
      </w:pPr>
      <w:r>
        <w:rPr>
          <w:szCs w:val="28"/>
        </w:rPr>
        <w:br w:type="page"/>
      </w:r>
    </w:p>
    <w:p w14:paraId="06739316" w14:textId="570619EC" w:rsidR="00115B67" w:rsidRDefault="00115B67" w:rsidP="00AE09FA">
      <w:pPr>
        <w:keepNext/>
        <w:spacing w:line="480" w:lineRule="auto"/>
        <w:ind w:firstLine="720"/>
        <w:jc w:val="both"/>
        <w:rPr>
          <w:lang w:eastAsia="ko-KR"/>
        </w:rPr>
      </w:pPr>
      <w:r>
        <w:rPr>
          <w:lang w:eastAsia="ko-KR"/>
        </w:rPr>
        <w:lastRenderedPageBreak/>
        <w:t>Inequality has risen to the forefront of academic and policy concerns. Publications like Thomas Piketty’s</w:t>
      </w:r>
      <w:r w:rsidR="0053678A">
        <w:rPr>
          <w:lang w:eastAsia="ko-KR"/>
        </w:rPr>
        <w:t xml:space="preserve"> (2014)</w:t>
      </w:r>
      <w:r>
        <w:rPr>
          <w:lang w:eastAsia="ko-KR"/>
        </w:rPr>
        <w:t xml:space="preserve"> </w:t>
      </w:r>
      <w:r w:rsidRPr="00BA5E6D">
        <w:rPr>
          <w:i/>
          <w:lang w:eastAsia="ko-KR"/>
        </w:rPr>
        <w:t>Capital in the Twenty-First Century</w:t>
      </w:r>
      <w:r>
        <w:rPr>
          <w:lang w:eastAsia="ko-KR"/>
        </w:rPr>
        <w:t xml:space="preserve"> and Anthony B. Atkinson’s </w:t>
      </w:r>
      <w:r w:rsidR="0053678A">
        <w:rPr>
          <w:lang w:eastAsia="ko-KR"/>
        </w:rPr>
        <w:t xml:space="preserve">(2015) </w:t>
      </w:r>
      <w:r w:rsidRPr="00BA5E6D">
        <w:rPr>
          <w:i/>
          <w:lang w:eastAsia="ko-KR"/>
        </w:rPr>
        <w:t>Inequality: What Can Be Done</w:t>
      </w:r>
      <w:r w:rsidR="003A4311">
        <w:rPr>
          <w:i/>
          <w:lang w:eastAsia="ko-KR"/>
        </w:rPr>
        <w:t>?</w:t>
      </w:r>
      <w:r>
        <w:rPr>
          <w:lang w:eastAsia="ko-KR"/>
        </w:rPr>
        <w:t xml:space="preserve"> have contributed significantly to broadening interest in the subject. </w:t>
      </w:r>
      <w:r w:rsidR="00CA6C55">
        <w:rPr>
          <w:lang w:eastAsia="ko-KR"/>
        </w:rPr>
        <w:t>Scholars and pundits alike argue about whether i</w:t>
      </w:r>
      <w:r>
        <w:rPr>
          <w:lang w:eastAsia="ko-KR"/>
        </w:rPr>
        <w:t>nequality explain</w:t>
      </w:r>
      <w:r w:rsidR="00CA6C55">
        <w:rPr>
          <w:lang w:eastAsia="ko-KR"/>
        </w:rPr>
        <w:t>s</w:t>
      </w:r>
      <w:r>
        <w:rPr>
          <w:lang w:eastAsia="ko-KR"/>
        </w:rPr>
        <w:t xml:space="preserve"> </w:t>
      </w:r>
      <w:r w:rsidR="006C5FBA">
        <w:rPr>
          <w:lang w:eastAsia="ko-KR"/>
        </w:rPr>
        <w:t xml:space="preserve">regime </w:t>
      </w:r>
      <w:r w:rsidR="00876DCB">
        <w:rPr>
          <w:lang w:eastAsia="ko-KR"/>
        </w:rPr>
        <w:t>change and stability</w:t>
      </w:r>
      <w:r w:rsidR="006C5FBA">
        <w:rPr>
          <w:lang w:eastAsia="ko-KR"/>
        </w:rPr>
        <w:t>, the onset and duration of conflict (Boix 2003)</w:t>
      </w:r>
      <w:r>
        <w:rPr>
          <w:lang w:eastAsia="ko-KR"/>
        </w:rPr>
        <w:t>, low levels of economic growth</w:t>
      </w:r>
      <w:r w:rsidR="007250C4">
        <w:rPr>
          <w:lang w:eastAsia="ko-KR"/>
        </w:rPr>
        <w:t xml:space="preserve"> (Forbes 2000)</w:t>
      </w:r>
      <w:r>
        <w:rPr>
          <w:lang w:eastAsia="ko-KR"/>
        </w:rPr>
        <w:t>, pressure on the welfare state</w:t>
      </w:r>
      <w:r w:rsidR="00471641">
        <w:rPr>
          <w:lang w:eastAsia="ko-KR"/>
        </w:rPr>
        <w:t xml:space="preserve"> (</w:t>
      </w:r>
      <w:r w:rsidR="003B7161">
        <w:rPr>
          <w:lang w:eastAsia="ko-KR"/>
        </w:rPr>
        <w:t>Ha 2012</w:t>
      </w:r>
      <w:r w:rsidR="00471641">
        <w:rPr>
          <w:lang w:eastAsia="ko-KR"/>
        </w:rPr>
        <w:t>)</w:t>
      </w:r>
      <w:r>
        <w:rPr>
          <w:lang w:eastAsia="ko-KR"/>
        </w:rPr>
        <w:t>, and the politics of redistribution</w:t>
      </w:r>
      <w:r w:rsidR="00CA6C55">
        <w:rPr>
          <w:lang w:eastAsia="ko-KR"/>
        </w:rPr>
        <w:t xml:space="preserve"> (</w:t>
      </w:r>
      <w:r w:rsidR="003B7161">
        <w:rPr>
          <w:lang w:eastAsia="ko-KR"/>
        </w:rPr>
        <w:t>Morgan and Kelly 2013</w:t>
      </w:r>
      <w:r w:rsidR="00471641">
        <w:rPr>
          <w:lang w:eastAsia="ko-KR"/>
        </w:rPr>
        <w:t>)</w:t>
      </w:r>
      <w:r>
        <w:rPr>
          <w:lang w:eastAsia="ko-KR"/>
        </w:rPr>
        <w:t xml:space="preserve">. </w:t>
      </w:r>
    </w:p>
    <w:p w14:paraId="69B5B2A1" w14:textId="66BC3DD8" w:rsidR="003A4311" w:rsidRDefault="005140E0" w:rsidP="0041151A">
      <w:pPr>
        <w:spacing w:line="480" w:lineRule="auto"/>
        <w:ind w:firstLine="720"/>
        <w:jc w:val="both"/>
        <w:rPr>
          <w:lang w:eastAsia="ko-KR"/>
        </w:rPr>
      </w:pPr>
      <w:r>
        <w:t xml:space="preserve">Interest in inequality appears in foundational social </w:t>
      </w:r>
      <w:r w:rsidR="00A778CF">
        <w:t>science contributions by</w:t>
      </w:r>
      <w:r>
        <w:t xml:space="preserve"> Tocqueville, Smith, and Marx</w:t>
      </w:r>
      <w:r w:rsidR="00115B67">
        <w:rPr>
          <w:lang w:eastAsia="ko-KR"/>
        </w:rPr>
        <w:t>.</w:t>
      </w:r>
      <w:r w:rsidR="00A92ECE" w:rsidRPr="00A92ECE">
        <w:t xml:space="preserve"> </w:t>
      </w:r>
      <w:r w:rsidR="00A92ECE" w:rsidRPr="00A92ECE">
        <w:rPr>
          <w:lang w:eastAsia="ko-KR"/>
        </w:rPr>
        <w:t xml:space="preserve">Scholars, however, have reached somewhat of an impasse </w:t>
      </w:r>
      <w:r w:rsidR="004C4445">
        <w:rPr>
          <w:lang w:eastAsia="ko-KR"/>
        </w:rPr>
        <w:t>in studying the effects of inequality on redistribution</w:t>
      </w:r>
      <w:r w:rsidR="00A92ECE" w:rsidRPr="00A92ECE">
        <w:rPr>
          <w:lang w:eastAsia="ko-KR"/>
        </w:rPr>
        <w:t>. While median</w:t>
      </w:r>
      <w:r w:rsidR="00F15C74">
        <w:rPr>
          <w:lang w:eastAsia="ko-KR"/>
        </w:rPr>
        <w:t>-</w:t>
      </w:r>
      <w:r w:rsidR="00A92ECE" w:rsidRPr="00A92ECE">
        <w:rPr>
          <w:lang w:eastAsia="ko-KR"/>
        </w:rPr>
        <w:t>voter theorists hold that as pre-tax and pre-transfer (or market) inequality increases in society, redistribution of this income by the government increases (Meltzer and Richard 1981; Boix, 2003; Acemoglu and Robinson, 2006), some studies reveal a relationship that is the opposite of the one Meltzer and Richard expected: a ‘Robin Hood paradox’ in which countries with the highest levels of inequality are the least redistributive – and those with more egalitarian distributions redistribute the most (</w:t>
      </w:r>
      <w:r w:rsidR="00793B6D" w:rsidRPr="00A066CE">
        <w:t>Br</w:t>
      </w:r>
      <w:r w:rsidR="00793B6D">
        <w:t>adley,</w:t>
      </w:r>
      <w:r w:rsidR="00793B6D" w:rsidRPr="005549DA">
        <w:rPr>
          <w:color w:val="000000"/>
        </w:rPr>
        <w:t xml:space="preserve"> </w:t>
      </w:r>
      <w:r w:rsidR="00793B6D" w:rsidRPr="009C1199">
        <w:rPr>
          <w:color w:val="000000"/>
        </w:rPr>
        <w:t xml:space="preserve">Huber, Moller, </w:t>
      </w:r>
      <w:r w:rsidR="00793B6D">
        <w:rPr>
          <w:color w:val="000000"/>
        </w:rPr>
        <w:t>Nielsen, and</w:t>
      </w:r>
      <w:r w:rsidR="00793B6D" w:rsidRPr="009C1199">
        <w:rPr>
          <w:color w:val="000000"/>
        </w:rPr>
        <w:t xml:space="preserve"> Stephens</w:t>
      </w:r>
      <w:r w:rsidR="00793B6D">
        <w:t xml:space="preserve"> 2003; Lindert 2004, 15; Iversen 2005, 6; de Mello and Tiongson 2006</w:t>
      </w:r>
      <w:r w:rsidR="00A92ECE" w:rsidRPr="00A92ECE">
        <w:rPr>
          <w:lang w:eastAsia="ko-KR"/>
        </w:rPr>
        <w:t>).</w:t>
      </w:r>
    </w:p>
    <w:p w14:paraId="4C49B237" w14:textId="1B397B73" w:rsidR="000929CE" w:rsidRDefault="00D21B70" w:rsidP="0041151A">
      <w:pPr>
        <w:spacing w:line="480" w:lineRule="auto"/>
        <w:ind w:firstLine="720"/>
        <w:jc w:val="both"/>
      </w:pPr>
      <w:r>
        <w:rPr>
          <w:lang w:eastAsia="ko-KR"/>
        </w:rPr>
        <w:t xml:space="preserve">We </w:t>
      </w:r>
      <w:r w:rsidR="00E31E46">
        <w:rPr>
          <w:lang w:eastAsia="ko-KR"/>
        </w:rPr>
        <w:t xml:space="preserve">reengage this debate by comparing the relationship between inequality and redistribution from 1990 to 2015 both within and among fifty-eight </w:t>
      </w:r>
      <w:r w:rsidR="00115B67">
        <w:rPr>
          <w:lang w:eastAsia="ko-KR"/>
        </w:rPr>
        <w:t>democracies</w:t>
      </w:r>
      <w:r w:rsidR="00E31E46">
        <w:rPr>
          <w:lang w:eastAsia="ko-KR"/>
        </w:rPr>
        <w:t>.</w:t>
      </w:r>
      <w:r w:rsidR="00115B67">
        <w:rPr>
          <w:rStyle w:val="FootnoteReference"/>
          <w:lang w:eastAsia="ko-KR"/>
        </w:rPr>
        <w:footnoteReference w:id="1"/>
      </w:r>
      <w:r w:rsidR="00E31E46">
        <w:rPr>
          <w:lang w:eastAsia="ko-KR"/>
        </w:rPr>
        <w:t xml:space="preserve"> </w:t>
      </w:r>
      <w:r w:rsidR="007E0452" w:rsidRPr="0053678A">
        <w:rPr>
          <w:iCs/>
          <w:color w:val="000000" w:themeColor="text1"/>
          <w:lang w:eastAsia="ko-KR"/>
        </w:rPr>
        <w:t>We</w:t>
      </w:r>
      <w:r w:rsidR="00172BDD" w:rsidRPr="0053678A">
        <w:rPr>
          <w:color w:val="000000" w:themeColor="text1"/>
          <w:lang w:eastAsia="ko-KR"/>
        </w:rPr>
        <w:t xml:space="preserve"> uncover a positive, short-term association between inequality and redistribution, controlling for endogeneity between redistribution and market income inequality. </w:t>
      </w:r>
      <w:r w:rsidR="00172BDD" w:rsidRPr="0053678A">
        <w:rPr>
          <w:color w:val="000000" w:themeColor="text1"/>
        </w:rPr>
        <w:t xml:space="preserve">Long term, inequality also increases redistribution in developed democracies but </w:t>
      </w:r>
      <w:r w:rsidR="00750D5A">
        <w:rPr>
          <w:color w:val="000000" w:themeColor="text1"/>
        </w:rPr>
        <w:t xml:space="preserve">appears to </w:t>
      </w:r>
      <w:r w:rsidR="00172BDD" w:rsidRPr="0053678A">
        <w:rPr>
          <w:color w:val="000000" w:themeColor="text1"/>
        </w:rPr>
        <w:t>decrease it in a number of developing nations.</w:t>
      </w:r>
    </w:p>
    <w:p w14:paraId="3110353F" w14:textId="77777777" w:rsidR="000929CE" w:rsidRDefault="000929CE" w:rsidP="0043408B">
      <w:pPr>
        <w:ind w:firstLine="720"/>
        <w:jc w:val="both"/>
      </w:pPr>
    </w:p>
    <w:p w14:paraId="29D2938A" w14:textId="522FDE89" w:rsidR="000929CE" w:rsidRDefault="00E31E46" w:rsidP="000929CE">
      <w:pPr>
        <w:spacing w:line="480" w:lineRule="auto"/>
        <w:jc w:val="both"/>
      </w:pPr>
      <w:r>
        <w:t>INEQUALITY AND REDISTRIBUTION: WHAT SORT OF RELATIONSHIP?</w:t>
      </w:r>
    </w:p>
    <w:p w14:paraId="69666237" w14:textId="77777777" w:rsidR="000929CE" w:rsidRDefault="000929CE" w:rsidP="0043408B">
      <w:pPr>
        <w:jc w:val="both"/>
      </w:pPr>
    </w:p>
    <w:p w14:paraId="5FD57636" w14:textId="5E9D62A8" w:rsidR="002D7707" w:rsidRDefault="000929CE" w:rsidP="0043408B">
      <w:pPr>
        <w:spacing w:line="480" w:lineRule="auto"/>
        <w:jc w:val="both"/>
      </w:pPr>
      <w:r>
        <w:tab/>
      </w:r>
      <w:r>
        <w:rPr>
          <w:lang w:eastAsia="ko-KR"/>
        </w:rPr>
        <w:t>In the last four decades, t</w:t>
      </w:r>
      <w:r w:rsidR="00E959D4">
        <w:rPr>
          <w:lang w:eastAsia="ko-KR"/>
        </w:rPr>
        <w:t xml:space="preserve">wo </w:t>
      </w:r>
      <w:r w:rsidR="006114B0">
        <w:rPr>
          <w:lang w:eastAsia="ko-KR"/>
        </w:rPr>
        <w:t>bodies of work</w:t>
      </w:r>
      <w:r w:rsidR="002255E2">
        <w:rPr>
          <w:lang w:eastAsia="ko-KR"/>
        </w:rPr>
        <w:t xml:space="preserve"> </w:t>
      </w:r>
      <w:r>
        <w:rPr>
          <w:lang w:eastAsia="ko-KR"/>
        </w:rPr>
        <w:t xml:space="preserve">have emerged </w:t>
      </w:r>
      <w:r w:rsidR="00A93D3B">
        <w:rPr>
          <w:lang w:eastAsia="ko-KR"/>
        </w:rPr>
        <w:t xml:space="preserve">that posit </w:t>
      </w:r>
      <w:r w:rsidR="007E0D6E">
        <w:rPr>
          <w:lang w:eastAsia="ko-KR"/>
        </w:rPr>
        <w:t>opposite</w:t>
      </w:r>
      <w:r>
        <w:rPr>
          <w:lang w:eastAsia="ko-KR"/>
        </w:rPr>
        <w:t xml:space="preserve"> </w:t>
      </w:r>
      <w:r w:rsidR="007E0D6E">
        <w:rPr>
          <w:lang w:eastAsia="ko-KR"/>
        </w:rPr>
        <w:t>relationships</w:t>
      </w:r>
      <w:r>
        <w:rPr>
          <w:lang w:eastAsia="ko-KR"/>
        </w:rPr>
        <w:t xml:space="preserve"> between inequality and redistribution:</w:t>
      </w:r>
      <w:r w:rsidR="00E959D4">
        <w:rPr>
          <w:lang w:eastAsia="ko-KR"/>
        </w:rPr>
        <w:t xml:space="preserve"> </w:t>
      </w:r>
      <w:r w:rsidR="00E959D4">
        <w:t>the medi</w:t>
      </w:r>
      <w:r w:rsidR="00895437">
        <w:t>an</w:t>
      </w:r>
      <w:r w:rsidR="0080595C">
        <w:t>-</w:t>
      </w:r>
      <w:r w:rsidR="00E959D4">
        <w:t>voter theorem and the fiscal</w:t>
      </w:r>
      <w:r w:rsidR="0080595C">
        <w:t>-</w:t>
      </w:r>
      <w:r w:rsidR="00E959D4">
        <w:t>contract approach</w:t>
      </w:r>
      <w:r w:rsidR="00991010" w:rsidRPr="00991010">
        <w:rPr>
          <w:szCs w:val="28"/>
        </w:rPr>
        <w:t xml:space="preserve">. </w:t>
      </w:r>
      <w:r w:rsidR="007F0734">
        <w:rPr>
          <w:lang w:eastAsia="ko-KR"/>
        </w:rPr>
        <w:t>T</w:t>
      </w:r>
      <w:r w:rsidR="00C82B69">
        <w:t>he median</w:t>
      </w:r>
      <w:r w:rsidR="00F15C74">
        <w:t>-</w:t>
      </w:r>
      <w:r w:rsidR="00C82B69">
        <w:t>voter theory</w:t>
      </w:r>
      <w:r w:rsidR="007F0734">
        <w:t xml:space="preserve"> (Meltzer and Richard 1981)</w:t>
      </w:r>
      <w:r w:rsidR="00C82B69">
        <w:t xml:space="preserve"> </w:t>
      </w:r>
      <w:r w:rsidR="00D23693">
        <w:t>claims</w:t>
      </w:r>
      <w:r w:rsidR="002D7707" w:rsidRPr="00A066CE">
        <w:rPr>
          <w:lang w:eastAsia="ko-KR"/>
        </w:rPr>
        <w:t xml:space="preserve"> that as the level of pre-tax, pre-transfer inequality increases in society, </w:t>
      </w:r>
      <w:r w:rsidR="002D7707" w:rsidRPr="00A066CE">
        <w:t>more citizens become relatively impoverished, which causes them to demand higher transfers from the government</w:t>
      </w:r>
      <w:r w:rsidR="002D7707">
        <w:t xml:space="preserve"> (</w:t>
      </w:r>
      <w:r w:rsidR="002D7707">
        <w:rPr>
          <w:lang w:eastAsia="ko-KR"/>
        </w:rPr>
        <w:t>Boix 2003</w:t>
      </w:r>
      <w:r w:rsidR="00BF1BF3">
        <w:rPr>
          <w:lang w:eastAsia="ko-KR"/>
        </w:rPr>
        <w:t>, 23</w:t>
      </w:r>
      <w:r w:rsidR="002D7707">
        <w:rPr>
          <w:lang w:eastAsia="ko-KR"/>
        </w:rPr>
        <w:t>)</w:t>
      </w:r>
      <w:r w:rsidR="002D7707" w:rsidRPr="00A066CE">
        <w:rPr>
          <w:lang w:eastAsia="ko-KR"/>
        </w:rPr>
        <w:t xml:space="preserve">. </w:t>
      </w:r>
      <w:r w:rsidR="002D7707" w:rsidRPr="00A066CE">
        <w:t xml:space="preserve">The model </w:t>
      </w:r>
      <w:r w:rsidR="002D7707">
        <w:t xml:space="preserve">of the political process </w:t>
      </w:r>
      <w:r w:rsidR="00D23693">
        <w:t>Meltzer and Richard</w:t>
      </w:r>
      <w:r w:rsidR="004C0541">
        <w:t xml:space="preserve"> (1981)</w:t>
      </w:r>
      <w:r w:rsidR="00D23693" w:rsidRPr="00A066CE">
        <w:t xml:space="preserve"> </w:t>
      </w:r>
      <w:r w:rsidR="002D7707" w:rsidRPr="00A066CE">
        <w:t xml:space="preserve">constructed </w:t>
      </w:r>
      <w:r w:rsidR="004C0541">
        <w:t>builds from the notion</w:t>
      </w:r>
      <w:r w:rsidR="002D7707" w:rsidRPr="00A066CE">
        <w:t xml:space="preserve"> that </w:t>
      </w:r>
      <w:r w:rsidR="002D7707">
        <w:t>competition for votes drives legislators to enact into law the tax rate that is favored by the median voter</w:t>
      </w:r>
      <w:r w:rsidR="004C0541">
        <w:t>.</w:t>
      </w:r>
      <w:r w:rsidR="002D7707" w:rsidRPr="00A066CE">
        <w:rPr>
          <w:rStyle w:val="FootnoteReference"/>
          <w:lang w:eastAsia="ko-KR"/>
        </w:rPr>
        <w:footnoteReference w:id="2"/>
      </w:r>
      <w:r w:rsidR="002D7707">
        <w:t xml:space="preserve"> </w:t>
      </w:r>
      <w:r w:rsidR="004C0541">
        <w:t>This rate</w:t>
      </w:r>
      <w:r w:rsidR="00315B4C">
        <w:t xml:space="preserve"> reflects the</w:t>
      </w:r>
      <w:r w:rsidR="002D7707">
        <w:t xml:space="preserve"> difference between median and mean incomes, or inequality in the distribution of market income in society.</w:t>
      </w:r>
      <w:r w:rsidR="002D7707">
        <w:rPr>
          <w:rStyle w:val="FootnoteReference"/>
        </w:rPr>
        <w:footnoteReference w:id="3"/>
      </w:r>
    </w:p>
    <w:p w14:paraId="1B24D5AE" w14:textId="306E13F1" w:rsidR="002D7707" w:rsidRDefault="00946D57" w:rsidP="00DB7F44">
      <w:pPr>
        <w:spacing w:line="480" w:lineRule="auto"/>
        <w:ind w:firstLine="720"/>
        <w:jc w:val="both"/>
      </w:pPr>
      <w:r>
        <w:t>The media</w:t>
      </w:r>
      <w:r w:rsidR="004C4445">
        <w:t>n</w:t>
      </w:r>
      <w:r w:rsidR="0080595C">
        <w:t>-</w:t>
      </w:r>
      <w:r>
        <w:t xml:space="preserve">voter approach </w:t>
      </w:r>
      <w:r w:rsidR="002D7707" w:rsidRPr="00B60538">
        <w:t>expect</w:t>
      </w:r>
      <w:r>
        <w:t>s that</w:t>
      </w:r>
      <w:r w:rsidR="002D7707" w:rsidRPr="00B60538">
        <w:t xml:space="preserve"> </w:t>
      </w:r>
      <w:r w:rsidR="002D7707">
        <w:t xml:space="preserve">increases in market inequality </w:t>
      </w:r>
      <w:r>
        <w:t xml:space="preserve">will </w:t>
      </w:r>
      <w:r w:rsidR="002D7707">
        <w:t xml:space="preserve">lead to increased demand for redistributive transfers. </w:t>
      </w:r>
      <w:r>
        <w:t>That is, w</w:t>
      </w:r>
      <w:r w:rsidR="002D7707">
        <w:t xml:space="preserve">hen inequality in market income increases </w:t>
      </w:r>
      <w:r w:rsidR="002D7707">
        <w:lastRenderedPageBreak/>
        <w:t>within countries, demand for redistribution subsequently increases (</w:t>
      </w:r>
      <w:r w:rsidR="002D7707" w:rsidRPr="00D76B0F">
        <w:t>Schmidt-Catran</w:t>
      </w:r>
      <w:r w:rsidR="002D7707">
        <w:t xml:space="preserve"> 2016</w:t>
      </w:r>
      <w:r w:rsidR="00BF1BF3">
        <w:t>, 119</w:t>
      </w:r>
      <w:r w:rsidR="002D7707">
        <w:t xml:space="preserve">). But the </w:t>
      </w:r>
      <w:r w:rsidR="003765A5">
        <w:t>cross-sectional</w:t>
      </w:r>
      <w:r w:rsidR="002D7707">
        <w:t xml:space="preserve"> relationship implied by the median-voter theorem, that higher (lower) levels of inequality also cause a higher (lower) prevalence of redistributive desires, is not borne out by the data (</w:t>
      </w:r>
      <w:r w:rsidR="002D7707" w:rsidRPr="00D76B0F">
        <w:t>Schmidt-Catran</w:t>
      </w:r>
      <w:r w:rsidR="002D7707">
        <w:t xml:space="preserve"> 2016</w:t>
      </w:r>
      <w:r w:rsidR="00BF1BF3">
        <w:t>, 119</w:t>
      </w:r>
      <w:r w:rsidR="002D7707">
        <w:t xml:space="preserve">). </w:t>
      </w:r>
    </w:p>
    <w:p w14:paraId="6F262270" w14:textId="652EC0B7" w:rsidR="002D7707" w:rsidRDefault="007F0734" w:rsidP="0086762F">
      <w:pPr>
        <w:spacing w:line="480" w:lineRule="auto"/>
        <w:ind w:firstLine="720"/>
        <w:jc w:val="both"/>
      </w:pPr>
      <w:r>
        <w:t xml:space="preserve">Scholars </w:t>
      </w:r>
      <w:r w:rsidR="002D7707">
        <w:t xml:space="preserve">also probe </w:t>
      </w:r>
      <w:r w:rsidR="00936B98">
        <w:t>the direct effect of</w:t>
      </w:r>
      <w:r w:rsidR="002D7707">
        <w:t xml:space="preserve"> inequality on redistribution. </w:t>
      </w:r>
      <w:r w:rsidR="001475A4">
        <w:t>As previously mentioned, s</w:t>
      </w:r>
      <w:r w:rsidR="00D23693">
        <w:t>ome studies reveal</w:t>
      </w:r>
      <w:r w:rsidR="00936B98">
        <w:t xml:space="preserve"> </w:t>
      </w:r>
      <w:r w:rsidR="00D23693" w:rsidRPr="00A066CE">
        <w:rPr>
          <w:lang w:eastAsia="ko-KR"/>
        </w:rPr>
        <w:t>a ‘Robin Hood paradox’ in which countries with the highest levels of inequality are the least redistributive – and those with more egalitarian distributions redistribute the most</w:t>
      </w:r>
      <w:r w:rsidR="00D23693" w:rsidRPr="00A066CE">
        <w:t>.</w:t>
      </w:r>
      <w:r w:rsidR="002D7707">
        <w:t xml:space="preserve"> </w:t>
      </w:r>
      <w:r w:rsidR="001475A4">
        <w:t>Discrepancies among the different theories</w:t>
      </w:r>
      <w:r w:rsidR="00936B98">
        <w:t xml:space="preserve"> </w:t>
      </w:r>
      <w:r w:rsidR="00F033CB">
        <w:t xml:space="preserve">arise </w:t>
      </w:r>
      <w:r w:rsidR="006C5FBA">
        <w:t xml:space="preserve">in part </w:t>
      </w:r>
      <w:r w:rsidR="00936B98">
        <w:t xml:space="preserve">from the </w:t>
      </w:r>
      <w:r w:rsidR="006C5FBA">
        <w:t>focus of many studies:</w:t>
      </w:r>
      <w:r w:rsidR="00FA241F">
        <w:t xml:space="preserve"> variation in the share of </w:t>
      </w:r>
      <w:r w:rsidR="001475A4">
        <w:t>government spending</w:t>
      </w:r>
      <w:r w:rsidR="00FA241F">
        <w:t xml:space="preserve"> devoted to social transfers</w:t>
      </w:r>
      <w:r w:rsidR="006C5FBA">
        <w:t xml:space="preserve"> as opposed to</w:t>
      </w:r>
      <w:r w:rsidR="002D7707">
        <w:t xml:space="preserve"> income redistribution (Houle 2017</w:t>
      </w:r>
      <w:r w:rsidR="00955101">
        <w:t>, 3</w:t>
      </w:r>
      <w:r w:rsidR="002D7707">
        <w:t>)</w:t>
      </w:r>
      <w:r w:rsidR="00985BE7">
        <w:t>.</w:t>
      </w:r>
      <w:r w:rsidR="002D7707">
        <w:t xml:space="preserve"> </w:t>
      </w:r>
      <w:r w:rsidR="001475A4">
        <w:t>In addition</w:t>
      </w:r>
      <w:r w:rsidR="00936B98">
        <w:t>, i</w:t>
      </w:r>
      <w:r w:rsidR="002D7707">
        <w:t xml:space="preserve">ndicators of </w:t>
      </w:r>
      <w:r w:rsidR="001475A4">
        <w:t>market income inequality</w:t>
      </w:r>
      <w:r w:rsidR="002D7707">
        <w:t xml:space="preserve"> also vary greatly in the empirical literature</w:t>
      </w:r>
      <w:r w:rsidR="00CD35C3">
        <w:t>.</w:t>
      </w:r>
      <w:r w:rsidR="00CD35C3">
        <w:rPr>
          <w:rStyle w:val="FootnoteReference"/>
        </w:rPr>
        <w:footnoteReference w:id="4"/>
      </w:r>
      <w:r w:rsidR="002D7707">
        <w:t xml:space="preserve"> </w:t>
      </w:r>
    </w:p>
    <w:p w14:paraId="250425AA" w14:textId="0741A0CE" w:rsidR="002D7707" w:rsidRDefault="00D23693" w:rsidP="001475A4">
      <w:pPr>
        <w:spacing w:line="480" w:lineRule="auto"/>
        <w:ind w:firstLine="720"/>
        <w:jc w:val="both"/>
      </w:pPr>
      <w:r>
        <w:t>The median</w:t>
      </w:r>
      <w:r w:rsidR="00936B98">
        <w:t>-</w:t>
      </w:r>
      <w:r>
        <w:t>voter theory neglects</w:t>
      </w:r>
      <w:r w:rsidR="00936B98">
        <w:t>, on the one hand,</w:t>
      </w:r>
      <w:r>
        <w:t xml:space="preserve"> the insurance role of </w:t>
      </w:r>
      <w:r w:rsidR="00985BE7">
        <w:t xml:space="preserve">welfare </w:t>
      </w:r>
      <w:r>
        <w:t>transfers and</w:t>
      </w:r>
      <w:r w:rsidR="00936B98">
        <w:t>, on the other,</w:t>
      </w:r>
      <w:r>
        <w:t xml:space="preserve"> possible endogeneity between redistribution and market inequality.</w:t>
      </w:r>
      <w:r>
        <w:rPr>
          <w:rStyle w:val="FootnoteReference"/>
        </w:rPr>
        <w:footnoteReference w:id="5"/>
      </w:r>
      <w:r>
        <w:t xml:space="preserve"> </w:t>
      </w:r>
      <w:r w:rsidR="002D7707">
        <w:lastRenderedPageBreak/>
        <w:t>Consideration of the insurance role of transfers adds several complications to the simple median</w:t>
      </w:r>
      <w:r w:rsidR="00936B98">
        <w:t>-</w:t>
      </w:r>
      <w:r w:rsidR="002D7707">
        <w:t xml:space="preserve">voter model. </w:t>
      </w:r>
      <w:r w:rsidR="00936B98">
        <w:t>First,</w:t>
      </w:r>
      <w:r w:rsidR="002D7707">
        <w:t xml:space="preserve"> different short</w:t>
      </w:r>
      <w:r w:rsidR="00936B98">
        <w:t>-</w:t>
      </w:r>
      <w:r w:rsidR="002D7707">
        <w:t xml:space="preserve"> and long</w:t>
      </w:r>
      <w:r w:rsidR="00936B98">
        <w:t>-</w:t>
      </w:r>
      <w:r w:rsidR="002D7707">
        <w:t>run relationships</w:t>
      </w:r>
      <w:r w:rsidR="00936B98">
        <w:t xml:space="preserve"> may operate</w:t>
      </w:r>
      <w:r w:rsidR="002D7707">
        <w:t xml:space="preserve"> between inequality and redistribution, leading to multiple </w:t>
      </w:r>
      <w:r w:rsidR="0053678A">
        <w:t>equilibria</w:t>
      </w:r>
      <w:r w:rsidR="002D7707">
        <w:t xml:space="preserve"> across countries (Benabou 2000, 97). </w:t>
      </w:r>
      <w:r w:rsidR="00936B98">
        <w:t>Second,</w:t>
      </w:r>
      <w:r w:rsidR="002D7707">
        <w:t xml:space="preserve"> inequality in market incomes </w:t>
      </w:r>
      <w:r w:rsidR="00936B98">
        <w:t xml:space="preserve">may be </w:t>
      </w:r>
      <w:r w:rsidR="002D7707">
        <w:t>endogenous to redistribution, leading to “history dependent social</w:t>
      </w:r>
      <w:r w:rsidR="00A02924">
        <w:t xml:space="preserve"> contracts” (Glaeser</w:t>
      </w:r>
      <w:r w:rsidR="002D7707">
        <w:t xml:space="preserve"> 2006; Benabou 2000, 110). </w:t>
      </w:r>
      <w:r w:rsidR="00936B98">
        <w:t>For example,</w:t>
      </w:r>
      <w:r w:rsidR="002D7707">
        <w:t xml:space="preserve"> market activities will tend to </w:t>
      </w:r>
      <w:r w:rsidR="002D7707" w:rsidRPr="00A066CE">
        <w:t xml:space="preserve">reflect </w:t>
      </w:r>
      <w:r w:rsidR="002D7707">
        <w:t>incentives to save, invest, consume, and work</w:t>
      </w:r>
      <w:r w:rsidR="00936B98">
        <w:t xml:space="preserve">. These may result in </w:t>
      </w:r>
      <w:r w:rsidR="002D7707" w:rsidRPr="00A066CE">
        <w:t>a distribution of market income</w:t>
      </w:r>
      <w:r w:rsidR="00793E40">
        <w:t xml:space="preserve"> different</w:t>
      </w:r>
      <w:r w:rsidR="00793E40" w:rsidRPr="00A066CE">
        <w:t xml:space="preserve"> </w:t>
      </w:r>
      <w:r w:rsidR="00936B98">
        <w:t xml:space="preserve">from what we would expect </w:t>
      </w:r>
      <w:r w:rsidR="002D7707" w:rsidRPr="00A066CE">
        <w:t>under a</w:t>
      </w:r>
      <w:r w:rsidR="00936B98">
        <w:t xml:space="preserve">n alternative </w:t>
      </w:r>
      <w:r w:rsidR="002D7707" w:rsidRPr="00A066CE">
        <w:t>combination of social policies</w:t>
      </w:r>
      <w:r w:rsidR="00A02924">
        <w:t xml:space="preserve"> (Jesuit and Mahler</w:t>
      </w:r>
      <w:r w:rsidR="002D7707">
        <w:t xml:space="preserve"> 2010</w:t>
      </w:r>
      <w:r w:rsidR="005F114B">
        <w:t>; Saunders 210, 526</w:t>
      </w:r>
      <w:r w:rsidR="002D7707">
        <w:t>)</w:t>
      </w:r>
      <w:r w:rsidR="002D7707" w:rsidRPr="00A066CE">
        <w:t>.</w:t>
      </w:r>
    </w:p>
    <w:p w14:paraId="292A0DCB" w14:textId="7BC2B0E2" w:rsidR="00DB6411" w:rsidRDefault="002D7707" w:rsidP="00DB6411">
      <w:pPr>
        <w:spacing w:line="480" w:lineRule="auto"/>
        <w:ind w:firstLine="720"/>
        <w:jc w:val="both"/>
      </w:pPr>
      <w:r>
        <w:t>The most developed of these arguments</w:t>
      </w:r>
      <w:r w:rsidR="00F82CD5">
        <w:t>, known as the “fiscal-contract” approach,</w:t>
      </w:r>
      <w:r>
        <w:t xml:space="preserve"> move</w:t>
      </w:r>
      <w:r w:rsidR="00F82CD5">
        <w:t>s</w:t>
      </w:r>
      <w:r w:rsidRPr="00A066CE">
        <w:t xml:space="preserve"> away </w:t>
      </w:r>
      <w:r>
        <w:t xml:space="preserve">completely </w:t>
      </w:r>
      <w:r w:rsidRPr="00A066CE">
        <w:t xml:space="preserve">from the idea that governments coerce </w:t>
      </w:r>
      <w:r>
        <w:t>voters</w:t>
      </w:r>
      <w:r w:rsidRPr="00A066CE">
        <w:t xml:space="preserve"> to pay taxes (as per the median</w:t>
      </w:r>
      <w:r w:rsidR="001D0C7D">
        <w:t>-</w:t>
      </w:r>
      <w:r w:rsidRPr="00A066CE">
        <w:t>voter theory)</w:t>
      </w:r>
      <w:r w:rsidR="001D0C7D">
        <w:t xml:space="preserve">. Instead, </w:t>
      </w:r>
      <w:r w:rsidR="00F82CD5">
        <w:t>it</w:t>
      </w:r>
      <w:r w:rsidRPr="00A066CE">
        <w:t xml:space="preserve"> </w:t>
      </w:r>
      <w:r w:rsidR="001D0C7D">
        <w:t>treat</w:t>
      </w:r>
      <w:r w:rsidR="00F82CD5">
        <w:t>s</w:t>
      </w:r>
      <w:r w:rsidRPr="00A066CE">
        <w:t xml:space="preserve"> taxation </w:t>
      </w:r>
      <w:r w:rsidR="00793B6D">
        <w:t xml:space="preserve">as a </w:t>
      </w:r>
      <w:r w:rsidRPr="00A066CE">
        <w:t>credible commitment</w:t>
      </w:r>
      <w:r w:rsidR="001D0C7D">
        <w:t xml:space="preserve"> game</w:t>
      </w:r>
      <w:r w:rsidRPr="00A066CE">
        <w:t xml:space="preserve"> in which taxpayers trade tax burdens for government services</w:t>
      </w:r>
      <w:r w:rsidR="00A02924">
        <w:t xml:space="preserve"> (Timmons</w:t>
      </w:r>
      <w:r>
        <w:t xml:space="preserve"> 2005, 2010)</w:t>
      </w:r>
      <w:r w:rsidRPr="00A066CE">
        <w:t xml:space="preserve">. </w:t>
      </w:r>
      <w:r w:rsidR="00F82CD5">
        <w:t>This approach is</w:t>
      </w:r>
      <w:r w:rsidR="001D0C7D">
        <w:t xml:space="preserve"> </w:t>
      </w:r>
      <w:r>
        <w:t>compatible with the idea that various “</w:t>
      </w:r>
      <w:r w:rsidR="00793B6D">
        <w:t>equilibria</w:t>
      </w:r>
      <w:r>
        <w:t>” can exist between inequality and redistribution: a highly inegalitarian, low redistributive equilibrium, and a more egalitarian, highly redistributive one.</w:t>
      </w:r>
    </w:p>
    <w:p w14:paraId="2B25B1B7" w14:textId="7EDC9E38" w:rsidR="002D7707" w:rsidRDefault="00DB6411" w:rsidP="00DB6411">
      <w:pPr>
        <w:spacing w:line="480" w:lineRule="auto"/>
        <w:ind w:firstLine="720"/>
        <w:jc w:val="both"/>
      </w:pPr>
      <w:r>
        <w:t>Why?</w:t>
      </w:r>
      <w:r w:rsidR="002D7707">
        <w:t xml:space="preserve"> </w:t>
      </w:r>
      <w:r>
        <w:t>In</w:t>
      </w:r>
      <w:r w:rsidR="002D7707" w:rsidRPr="00A066CE">
        <w:t xml:space="preserve"> societies with high tax burdens, </w:t>
      </w:r>
      <w:r w:rsidR="002D7707">
        <w:t xml:space="preserve">most </w:t>
      </w:r>
      <w:r w:rsidR="002D7707" w:rsidRPr="00A066CE">
        <w:t xml:space="preserve">taxpayers </w:t>
      </w:r>
      <w:r w:rsidR="002D7707">
        <w:t xml:space="preserve">also receive government transfers. In societies with low tax burdens, conversely, taxpayers receive few benefits while transfer recipients pay little in taxes. As Beramendi and Rehm (2016) imply, the mechanism linking inequality and redistribution long term </w:t>
      </w:r>
      <w:r>
        <w:t>thus resides in</w:t>
      </w:r>
      <w:r w:rsidR="002D7707">
        <w:t xml:space="preserve"> the design of the tax</w:t>
      </w:r>
      <w:r>
        <w:t>-</w:t>
      </w:r>
      <w:r w:rsidR="002D7707">
        <w:t>and</w:t>
      </w:r>
      <w:r>
        <w:t>-</w:t>
      </w:r>
      <w:r w:rsidR="002D7707">
        <w:t xml:space="preserve">transfer system. Proportional or regressive tax systems </w:t>
      </w:r>
      <w:r>
        <w:t xml:space="preserve">make </w:t>
      </w:r>
      <w:r w:rsidR="002D7707">
        <w:t xml:space="preserve">publics more favorably disposed to a large welfare </w:t>
      </w:r>
      <w:r w:rsidR="002D7707">
        <w:lastRenderedPageBreak/>
        <w:t xml:space="preserve">state; progressive ones, publics </w:t>
      </w:r>
      <w:r>
        <w:t xml:space="preserve">that see </w:t>
      </w:r>
      <w:r w:rsidR="002D7707">
        <w:t xml:space="preserve">redistribution as a zero-sum proposition. This </w:t>
      </w:r>
      <w:r w:rsidR="002255E2">
        <w:t>explain</w:t>
      </w:r>
      <w:r w:rsidR="001C7E8A">
        <w:t>s</w:t>
      </w:r>
      <w:r w:rsidR="002255E2">
        <w:t xml:space="preserve"> </w:t>
      </w:r>
      <w:r>
        <w:t xml:space="preserve">the </w:t>
      </w:r>
      <w:r w:rsidR="008302A0">
        <w:t xml:space="preserve">apparent </w:t>
      </w:r>
      <w:r w:rsidR="002D7707">
        <w:t>paradox of low inequality and high redistribution in Scandinavian and continental</w:t>
      </w:r>
      <w:r>
        <w:t xml:space="preserve"> European</w:t>
      </w:r>
      <w:r w:rsidR="002D7707">
        <w:t xml:space="preserve"> welfare states</w:t>
      </w:r>
      <w:r>
        <w:t>, but</w:t>
      </w:r>
      <w:r w:rsidR="002D7707">
        <w:t xml:space="preserve"> high inequality and low redistribution in Anglo-American ones.</w:t>
      </w:r>
    </w:p>
    <w:p w14:paraId="601F93D8" w14:textId="639CACD7" w:rsidR="008302A0" w:rsidRDefault="002D7707" w:rsidP="007F0734">
      <w:pPr>
        <w:spacing w:line="480" w:lineRule="auto"/>
        <w:ind w:firstLine="720"/>
        <w:jc w:val="both"/>
        <w:rPr>
          <w:lang w:eastAsia="ko-KR"/>
        </w:rPr>
      </w:pPr>
      <w:r>
        <w:t>Benabou (2000)</w:t>
      </w:r>
      <w:r w:rsidR="00E0571F">
        <w:t xml:space="preserve"> </w:t>
      </w:r>
      <w:r>
        <w:t xml:space="preserve">does not provide </w:t>
      </w:r>
      <w:r w:rsidR="00AE09FA">
        <w:t xml:space="preserve">statistical </w:t>
      </w:r>
      <w:r>
        <w:t>tests of his formal models, and Timmons’ analyses of the effects of inequality on various measures of central government revenue are “inconsistent across years and dependent variables” (Timmons 2005, 562)</w:t>
      </w:r>
      <w:r w:rsidRPr="00A066CE">
        <w:t xml:space="preserve">. </w:t>
      </w:r>
      <w:r w:rsidR="00D23693">
        <w:rPr>
          <w:lang w:eastAsia="ko-KR"/>
        </w:rPr>
        <w:t xml:space="preserve">The fiscal contract theory, moreover, expects a negative relationship between levels of inequality and levels of redistribution, but is less clear about the effects of short-term changes in the distribution of market incomes. </w:t>
      </w:r>
    </w:p>
    <w:p w14:paraId="3677A18E" w14:textId="3994313B" w:rsidR="00E12BA6" w:rsidRDefault="00DD4566" w:rsidP="00E12BA6">
      <w:pPr>
        <w:spacing w:line="480" w:lineRule="auto"/>
        <w:ind w:firstLine="720"/>
        <w:jc w:val="both"/>
      </w:pPr>
      <w:r>
        <w:t>Existing</w:t>
      </w:r>
      <w:r w:rsidR="00E12BA6">
        <w:t xml:space="preserve"> theories elide</w:t>
      </w:r>
      <w:r>
        <w:t xml:space="preserve"> important</w:t>
      </w:r>
      <w:r w:rsidR="00E12BA6">
        <w:t xml:space="preserve"> concern</w:t>
      </w:r>
      <w:r>
        <w:t>s involving</w:t>
      </w:r>
      <w:r w:rsidR="00E12BA6">
        <w:t xml:space="preserve"> the design of social policies. Meltzer and Richard (1981) for example </w:t>
      </w:r>
      <w:r w:rsidR="003A4311">
        <w:t>base their model on</w:t>
      </w:r>
      <w:r w:rsidR="0053678A">
        <w:t xml:space="preserve"> </w:t>
      </w:r>
      <w:r w:rsidR="00E12BA6">
        <w:t>a</w:t>
      </w:r>
      <w:r w:rsidR="00E12BA6" w:rsidRPr="00F9451B">
        <w:t xml:space="preserve"> proportional </w:t>
      </w:r>
      <w:r w:rsidR="00E12BA6">
        <w:t>tax system</w:t>
      </w:r>
      <w:r w:rsidR="00E12BA6" w:rsidRPr="00F9451B">
        <w:t xml:space="preserve"> </w:t>
      </w:r>
      <w:r w:rsidR="00E12BA6">
        <w:t>while others explicitly allow for progressivity in the tax code</w:t>
      </w:r>
      <w:r w:rsidR="00E12BA6" w:rsidRPr="00F9451B">
        <w:t xml:space="preserve"> </w:t>
      </w:r>
      <w:r w:rsidR="00E12BA6">
        <w:t xml:space="preserve">(Benabou </w:t>
      </w:r>
      <w:r w:rsidR="00E12BA6" w:rsidRPr="00F9451B">
        <w:t>2000, 103)</w:t>
      </w:r>
      <w:r w:rsidR="00E12BA6">
        <w:t>. Median</w:t>
      </w:r>
      <w:r w:rsidR="00F15C74">
        <w:t>-</w:t>
      </w:r>
      <w:r w:rsidR="00E12BA6">
        <w:t>voter theorists also assume</w:t>
      </w:r>
      <w:r w:rsidR="00E12BA6" w:rsidRPr="00362217">
        <w:t xml:space="preserve"> that taxes and transfers </w:t>
      </w:r>
      <w:r w:rsidR="00C0025B">
        <w:t>only distort the economy, and cannot</w:t>
      </w:r>
      <w:r w:rsidR="00C0025B" w:rsidRPr="00362217">
        <w:t xml:space="preserve"> </w:t>
      </w:r>
      <w:r w:rsidR="00C0025B">
        <w:t>increase economic growth. However,</w:t>
      </w:r>
      <w:r w:rsidR="00E12BA6">
        <w:t xml:space="preserve"> income redistribution can take the form of public goods that increase the economy’s total factor productivity. While we do not embrace any particular assumption, we raise the possibility that these </w:t>
      </w:r>
      <w:r w:rsidR="00C0025B">
        <w:t xml:space="preserve">considerations </w:t>
      </w:r>
      <w:r w:rsidR="00E12BA6">
        <w:t>complicate the relationship between inequality and redistribution.</w:t>
      </w:r>
    </w:p>
    <w:p w14:paraId="4007763A" w14:textId="77777777" w:rsidR="003765A5" w:rsidRDefault="003765A5" w:rsidP="003765A5">
      <w:pPr>
        <w:ind w:firstLine="720"/>
        <w:jc w:val="both"/>
      </w:pPr>
    </w:p>
    <w:p w14:paraId="75C64C55" w14:textId="741B9BE3" w:rsidR="00452D4E" w:rsidRDefault="008F798E" w:rsidP="00D6113F">
      <w:pPr>
        <w:spacing w:line="480" w:lineRule="auto"/>
        <w:jc w:val="both"/>
      </w:pPr>
      <w:r>
        <w:t>SOME DESCRIPTIVE EVIDEN</w:t>
      </w:r>
      <w:r w:rsidR="00C21FB0">
        <w:t>CE</w:t>
      </w:r>
    </w:p>
    <w:p w14:paraId="62383D7D" w14:textId="77777777" w:rsidR="00D6113F" w:rsidRDefault="00D6113F" w:rsidP="00D6113F">
      <w:pPr>
        <w:jc w:val="both"/>
      </w:pPr>
    </w:p>
    <w:p w14:paraId="2067629C" w14:textId="285C4443" w:rsidR="00D36D58" w:rsidRDefault="002344F4" w:rsidP="008F798E">
      <w:pPr>
        <w:spacing w:line="480" w:lineRule="auto"/>
        <w:ind w:firstLine="720"/>
        <w:jc w:val="both"/>
        <w:rPr>
          <w:lang w:eastAsia="ko-KR"/>
        </w:rPr>
      </w:pPr>
      <w:r>
        <w:rPr>
          <w:color w:val="000000"/>
        </w:rPr>
        <w:t>In this section, we</w:t>
      </w:r>
      <w:r w:rsidR="00D04580">
        <w:rPr>
          <w:color w:val="000000"/>
        </w:rPr>
        <w:t xml:space="preserve"> explore some descriptive patterns </w:t>
      </w:r>
      <w:r w:rsidR="00AC1E74">
        <w:rPr>
          <w:color w:val="000000"/>
        </w:rPr>
        <w:t>regarding</w:t>
      </w:r>
      <w:r>
        <w:rPr>
          <w:color w:val="000000"/>
        </w:rPr>
        <w:t xml:space="preserve"> inequality and redistribution </w:t>
      </w:r>
      <w:r w:rsidR="00D04580">
        <w:rPr>
          <w:color w:val="000000"/>
        </w:rPr>
        <w:t>using</w:t>
      </w:r>
      <w:r w:rsidR="00D366BA">
        <w:rPr>
          <w:color w:val="000000"/>
        </w:rPr>
        <w:t xml:space="preserve"> data </w:t>
      </w:r>
      <w:r w:rsidR="00D04580">
        <w:rPr>
          <w:color w:val="000000"/>
        </w:rPr>
        <w:t xml:space="preserve">from </w:t>
      </w:r>
      <w:r w:rsidR="00D366BA">
        <w:rPr>
          <w:color w:val="000000"/>
        </w:rPr>
        <w:t>the Standardized World Income In</w:t>
      </w:r>
      <w:r w:rsidR="00A02924">
        <w:rPr>
          <w:color w:val="000000"/>
        </w:rPr>
        <w:t>equality Dataset or SWIID (Solt</w:t>
      </w:r>
      <w:r w:rsidR="00D366BA">
        <w:rPr>
          <w:color w:val="000000"/>
        </w:rPr>
        <w:t xml:space="preserve"> 2016). </w:t>
      </w:r>
      <w:r>
        <w:rPr>
          <w:color w:val="000000"/>
        </w:rPr>
        <w:t>SWIID</w:t>
      </w:r>
      <w:r w:rsidR="00D366BA">
        <w:rPr>
          <w:color w:val="000000"/>
        </w:rPr>
        <w:t xml:space="preserve"> includes comparable estimates of market and overall inequality for the broadest possible range of countries. </w:t>
      </w:r>
      <w:r w:rsidR="00D36D58" w:rsidRPr="00A066CE">
        <w:rPr>
          <w:lang w:eastAsia="ko-KR"/>
        </w:rPr>
        <w:t>All observations be</w:t>
      </w:r>
      <w:r w:rsidR="00066145">
        <w:rPr>
          <w:lang w:eastAsia="ko-KR"/>
        </w:rPr>
        <w:t xml:space="preserve">long to countries with a Polity IV </w:t>
      </w:r>
      <w:r w:rsidR="00D36D58" w:rsidRPr="00A066CE">
        <w:rPr>
          <w:lang w:eastAsia="ko-KR"/>
        </w:rPr>
        <w:t xml:space="preserve">score of six or more, a commonly </w:t>
      </w:r>
      <w:r w:rsidR="00D36D58" w:rsidRPr="00A066CE">
        <w:rPr>
          <w:lang w:eastAsia="ko-KR"/>
        </w:rPr>
        <w:lastRenderedPageBreak/>
        <w:t>used threshold that distinguishes partial democracies and non-democracies from fully democratic regimes</w:t>
      </w:r>
      <w:r w:rsidR="00A02924">
        <w:rPr>
          <w:lang w:eastAsia="ko-KR"/>
        </w:rPr>
        <w:t xml:space="preserve"> (Marshall</w:t>
      </w:r>
      <w:r w:rsidR="005549DA">
        <w:rPr>
          <w:lang w:eastAsia="ko-KR"/>
        </w:rPr>
        <w:t xml:space="preserve">, </w:t>
      </w:r>
      <w:r w:rsidR="005549DA" w:rsidRPr="009C1199">
        <w:rPr>
          <w:color w:val="000000"/>
        </w:rPr>
        <w:t>Gurr</w:t>
      </w:r>
      <w:r w:rsidR="005549DA">
        <w:rPr>
          <w:color w:val="000000"/>
        </w:rPr>
        <w:t xml:space="preserve">, and Jaggers </w:t>
      </w:r>
      <w:r w:rsidR="00D36D58">
        <w:rPr>
          <w:lang w:eastAsia="ko-KR"/>
        </w:rPr>
        <w:t>2016)</w:t>
      </w:r>
      <w:r w:rsidR="00D36D58" w:rsidRPr="00A066CE">
        <w:rPr>
          <w:lang w:eastAsia="ko-KR"/>
        </w:rPr>
        <w:t>.</w:t>
      </w:r>
      <w:r w:rsidR="00D36D58" w:rsidRPr="00945A52">
        <w:rPr>
          <w:lang w:eastAsia="ko-KR"/>
        </w:rPr>
        <w:t xml:space="preserve"> </w:t>
      </w:r>
    </w:p>
    <w:p w14:paraId="536B4B98" w14:textId="76B38991" w:rsidR="007A3C16" w:rsidRDefault="00D366BA" w:rsidP="008F798E">
      <w:pPr>
        <w:spacing w:line="480" w:lineRule="auto"/>
        <w:ind w:firstLine="720"/>
        <w:jc w:val="both"/>
      </w:pPr>
      <w:r>
        <w:t>W</w:t>
      </w:r>
      <w:r w:rsidR="007A3C16">
        <w:t>e represent i</w:t>
      </w:r>
      <w:r w:rsidR="007A3C16" w:rsidRPr="00A066CE">
        <w:rPr>
          <w:lang w:eastAsia="ko-KR"/>
        </w:rPr>
        <w:t>nequality</w:t>
      </w:r>
      <w:r w:rsidR="007A3C16">
        <w:rPr>
          <w:lang w:eastAsia="ko-KR"/>
        </w:rPr>
        <w:t xml:space="preserve"> in a given country-year</w:t>
      </w:r>
      <w:r w:rsidR="007A3C16" w:rsidRPr="00A066CE">
        <w:rPr>
          <w:lang w:eastAsia="ko-KR"/>
        </w:rPr>
        <w:t xml:space="preserve"> </w:t>
      </w:r>
      <w:r w:rsidR="007A3C16">
        <w:rPr>
          <w:lang w:eastAsia="ko-KR"/>
        </w:rPr>
        <w:t xml:space="preserve">using the Gini coefficient of </w:t>
      </w:r>
      <w:r w:rsidR="007A3C16" w:rsidRPr="00A31BDD">
        <w:rPr>
          <w:rFonts w:eastAsia="Calibri"/>
          <w:lang w:eastAsia="ko-KR"/>
        </w:rPr>
        <w:t>pre-tax and transfer</w:t>
      </w:r>
      <w:r w:rsidR="007A3C16">
        <w:rPr>
          <w:lang w:eastAsia="ko-KR"/>
        </w:rPr>
        <w:t xml:space="preserve"> income.</w:t>
      </w:r>
      <w:r w:rsidR="008302A0">
        <w:rPr>
          <w:rStyle w:val="FootnoteReference"/>
        </w:rPr>
        <w:footnoteReference w:id="6"/>
      </w:r>
      <w:r w:rsidR="007A3C16">
        <w:rPr>
          <w:lang w:eastAsia="ko-KR"/>
        </w:rPr>
        <w:t xml:space="preserve"> </w:t>
      </w:r>
      <w:r w:rsidR="007A3C16">
        <w:t>Some (</w:t>
      </w:r>
      <w:r w:rsidR="005549DA">
        <w:t>for example</w:t>
      </w:r>
      <w:r w:rsidR="007A3C16">
        <w:t xml:space="preserve">, </w:t>
      </w:r>
      <w:r w:rsidR="007A3C16" w:rsidRPr="001A3D79">
        <w:t xml:space="preserve">Kenworthy and Pontusson </w:t>
      </w:r>
      <w:r w:rsidR="00330E69" w:rsidRPr="001A3D79">
        <w:t>2005, 463</w:t>
      </w:r>
      <w:r w:rsidR="007A3C16" w:rsidRPr="001A3D79">
        <w:t xml:space="preserve">) recommend using </w:t>
      </w:r>
      <w:r w:rsidR="007A3C16">
        <w:t xml:space="preserve">a measure of absolute redistribution, or </w:t>
      </w:r>
      <w:r w:rsidR="007A3C16" w:rsidRPr="001A3D79">
        <w:t xml:space="preserve">the difference between </w:t>
      </w:r>
      <w:r w:rsidR="007A3C16">
        <w:t xml:space="preserve">market and net Gini, </w:t>
      </w:r>
      <w:r w:rsidR="007A3C16" w:rsidRPr="001A3D79">
        <w:t xml:space="preserve">since a measure of relative redistribution can be affected by short-term trends in market income inequality (Mahler 2010, 532). </w:t>
      </w:r>
      <w:r w:rsidR="007A3C16">
        <w:t>Others counter, however, that</w:t>
      </w:r>
      <w:r w:rsidR="007A3C16" w:rsidRPr="001A3D79">
        <w:t xml:space="preserve"> </w:t>
      </w:r>
      <w:r w:rsidR="007A3C16" w:rsidRPr="001A3D79">
        <w:rPr>
          <w:rFonts w:eastAsia="Calibri"/>
        </w:rPr>
        <w:t>an increase in pre-tax and transfer inequality that results in automatic stabilization in taxes and transfers will result in increased absolute redistribution without policies actually changing (</w:t>
      </w:r>
      <w:r w:rsidR="007A3C16" w:rsidRPr="001A3D79">
        <w:t>assuming proportional taxation and flat rate benefits)</w:t>
      </w:r>
      <w:r w:rsidR="007A3C16">
        <w:t xml:space="preserve"> (</w:t>
      </w:r>
      <w:r w:rsidR="007A3C16" w:rsidRPr="001A3D79">
        <w:t>Huber and Stephens 2014, 252</w:t>
      </w:r>
      <w:r w:rsidR="007A3C16">
        <w:t xml:space="preserve">; Swank </w:t>
      </w:r>
      <w:r w:rsidR="007A3C16" w:rsidRPr="001A3D79">
        <w:t>2015, 24)</w:t>
      </w:r>
      <w:r w:rsidR="007A3C16">
        <w:t xml:space="preserve">. Consequently, they recommend a measure of relative redistribution – the </w:t>
      </w:r>
      <w:r w:rsidR="007A3C16" w:rsidRPr="001A3D79">
        <w:t xml:space="preserve">reduction in the Gini coefficient </w:t>
      </w:r>
      <w:r w:rsidR="007A3C16">
        <w:t>due to</w:t>
      </w:r>
      <w:r w:rsidR="007A3C16" w:rsidRPr="001A3D79">
        <w:t xml:space="preserve"> taxes and transfers</w:t>
      </w:r>
      <w:r w:rsidR="007A3C16">
        <w:t xml:space="preserve"> as a ratio of this coefficient. </w:t>
      </w:r>
    </w:p>
    <w:p w14:paraId="563FE3A7" w14:textId="77777777" w:rsidR="007A3C16" w:rsidRDefault="007A3C16" w:rsidP="00336996">
      <w:pPr>
        <w:spacing w:line="480" w:lineRule="auto"/>
        <w:ind w:firstLine="720"/>
        <w:jc w:val="both"/>
      </w:pPr>
      <w:r>
        <w:rPr>
          <w:lang w:eastAsia="ko-KR"/>
        </w:rPr>
        <w:t xml:space="preserve">We sidestep this debate by relying on the measure that best fits a particular analysis. For now, we simply plot </w:t>
      </w:r>
      <w:r>
        <w:t>in Figure 1 levels of relative redistribution as a function of levels of inequality (left panel) and changes in relative redistribution as a function of changes in inequality (right panel).</w:t>
      </w:r>
      <w:r>
        <w:rPr>
          <w:rStyle w:val="FootnoteReference"/>
        </w:rPr>
        <w:footnoteReference w:id="7"/>
      </w:r>
      <w:r>
        <w:t xml:space="preserve"> </w:t>
      </w:r>
    </w:p>
    <w:p w14:paraId="6C0D6AE9" w14:textId="77777777" w:rsidR="007A3C16" w:rsidRDefault="007A3C16" w:rsidP="007A3C16">
      <w:pPr>
        <w:ind w:firstLine="720"/>
        <w:jc w:val="both"/>
      </w:pPr>
    </w:p>
    <w:p w14:paraId="59CB6667" w14:textId="77777777" w:rsidR="007A3C16" w:rsidRDefault="007A3C16" w:rsidP="007A3C16">
      <w:pPr>
        <w:spacing w:line="480" w:lineRule="auto"/>
        <w:jc w:val="both"/>
      </w:pPr>
      <w:r>
        <w:rPr>
          <w:lang w:eastAsia="ko-KR"/>
        </w:rPr>
        <w:lastRenderedPageBreak/>
        <w:t xml:space="preserve">Figure 1: Relationship between Inequality and Redistribution in Democracies, </w:t>
      </w:r>
      <w:r w:rsidRPr="003D0EA3">
        <w:rPr>
          <w:lang w:eastAsia="ko-KR"/>
        </w:rPr>
        <w:t>1975-201</w:t>
      </w:r>
      <w:r>
        <w:rPr>
          <w:lang w:eastAsia="ko-KR"/>
        </w:rPr>
        <w:t>5.</w:t>
      </w:r>
    </w:p>
    <w:p w14:paraId="6B245DB3" w14:textId="77777777" w:rsidR="007A3C16" w:rsidRDefault="007A3C16" w:rsidP="007A3C16">
      <w:pPr>
        <w:spacing w:line="480" w:lineRule="auto"/>
        <w:ind w:firstLine="720"/>
        <w:rPr>
          <w:lang w:eastAsia="ko-KR"/>
        </w:rPr>
      </w:pPr>
      <w:r w:rsidRPr="00C312E6">
        <w:rPr>
          <w:noProof/>
        </w:rPr>
        <w:drawing>
          <wp:inline distT="0" distB="0" distL="0" distR="0" wp14:anchorId="319F207C" wp14:editId="40ADF749">
            <wp:extent cx="5114925" cy="37433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14925" cy="3743325"/>
                    </a:xfrm>
                    <a:prstGeom prst="rect">
                      <a:avLst/>
                    </a:prstGeom>
                    <a:noFill/>
                    <a:ln>
                      <a:noFill/>
                    </a:ln>
                  </pic:spPr>
                </pic:pic>
              </a:graphicData>
            </a:graphic>
          </wp:inline>
        </w:drawing>
      </w:r>
    </w:p>
    <w:p w14:paraId="6D2B8586" w14:textId="77777777" w:rsidR="007A3C16" w:rsidRPr="00A066CE" w:rsidRDefault="007A3C16" w:rsidP="007A3C16">
      <w:pPr>
        <w:ind w:firstLine="720"/>
        <w:rPr>
          <w:lang w:eastAsia="ko-KR"/>
        </w:rPr>
      </w:pPr>
      <w:r>
        <w:rPr>
          <w:lang w:eastAsia="ko-KR"/>
        </w:rPr>
        <w:t xml:space="preserve">Note: The plot on the right uses transformations of the variables that account, within a </w:t>
      </w:r>
      <w:r>
        <w:rPr>
          <w:lang w:eastAsia="ko-KR"/>
        </w:rPr>
        <w:tab/>
        <w:t xml:space="preserve">given country, for deviations in units of measurement from the cluster means on the left. </w:t>
      </w:r>
      <w:r>
        <w:rPr>
          <w:lang w:eastAsia="ko-KR"/>
        </w:rPr>
        <w:tab/>
        <w:t xml:space="preserve">We calculated these quantities using the method described in Bartels (2015). </w:t>
      </w:r>
    </w:p>
    <w:p w14:paraId="39AE5C4B" w14:textId="77777777" w:rsidR="007A3C16" w:rsidRDefault="007A3C16" w:rsidP="007A3C16">
      <w:pPr>
        <w:spacing w:line="480" w:lineRule="auto"/>
        <w:jc w:val="both"/>
      </w:pPr>
    </w:p>
    <w:p w14:paraId="71177166" w14:textId="531BA404" w:rsidR="002D7707" w:rsidRPr="00A066CE" w:rsidRDefault="007A3C16" w:rsidP="006114B0">
      <w:pPr>
        <w:spacing w:line="480" w:lineRule="auto"/>
        <w:ind w:firstLine="720"/>
        <w:jc w:val="both"/>
      </w:pPr>
      <w:r>
        <w:t xml:space="preserve">From Figure 1, it does appear as if increases over time within countries in market inequality lead to increases in redistribution </w:t>
      </w:r>
      <w:r w:rsidRPr="005B7C12">
        <w:t>(</w:t>
      </w:r>
      <w:r w:rsidRPr="005B7C12">
        <w:rPr>
          <w:i/>
        </w:rPr>
        <w:t>r</w:t>
      </w:r>
      <w:r>
        <w:t>=</w:t>
      </w:r>
      <w:r w:rsidRPr="005B7C12">
        <w:t>0.523; p&lt;0.000)</w:t>
      </w:r>
      <w:r>
        <w:t xml:space="preserve">. But countries that engage in higher levels of redistribution are those with lower levels of inequality </w:t>
      </w:r>
      <w:r w:rsidRPr="005B7C12">
        <w:t>(</w:t>
      </w:r>
      <w:r w:rsidRPr="005B7C12">
        <w:rPr>
          <w:i/>
        </w:rPr>
        <w:t>r</w:t>
      </w:r>
      <w:r w:rsidRPr="005B7C12">
        <w:t>=-</w:t>
      </w:r>
      <w:r w:rsidRPr="003D0EA3">
        <w:t>0.152</w:t>
      </w:r>
      <w:r w:rsidRPr="005B7C12">
        <w:t>; p&lt;0.000)</w:t>
      </w:r>
      <w:r>
        <w:t xml:space="preserve">. </w:t>
      </w:r>
      <w:r w:rsidR="00860943">
        <w:t xml:space="preserve">Further analysis reveals, in line with the fiscal contract approach, that </w:t>
      </w:r>
      <w:r w:rsidR="006114B0">
        <w:t>l</w:t>
      </w:r>
      <w:r w:rsidR="002D7707" w:rsidRPr="00A066CE">
        <w:t xml:space="preserve">evels of redistribution in </w:t>
      </w:r>
      <w:r w:rsidR="006114B0">
        <w:t>Liberal democracies</w:t>
      </w:r>
      <w:r w:rsidR="002D7707" w:rsidRPr="00A066CE">
        <w:t xml:space="preserve"> </w:t>
      </w:r>
      <w:r w:rsidR="002D7707" w:rsidRPr="00A066CE">
        <w:lastRenderedPageBreak/>
        <w:t xml:space="preserve">are the lowest of the </w:t>
      </w:r>
      <w:r w:rsidR="00330E69">
        <w:t>three</w:t>
      </w:r>
      <w:r w:rsidR="00452D4E">
        <w:t xml:space="preserve"> </w:t>
      </w:r>
      <w:r w:rsidR="00330E69" w:rsidRPr="00A066CE">
        <w:t>developed</w:t>
      </w:r>
      <w:r w:rsidR="006114B0">
        <w:t xml:space="preserve"> country </w:t>
      </w:r>
      <w:r w:rsidR="002D7707" w:rsidRPr="00A066CE">
        <w:t>groupings.</w:t>
      </w:r>
      <w:r w:rsidR="006114B0">
        <w:rPr>
          <w:rStyle w:val="FootnoteReference"/>
        </w:rPr>
        <w:footnoteReference w:id="8"/>
      </w:r>
      <w:r w:rsidR="002D7707" w:rsidRPr="00A066CE">
        <w:t xml:space="preserve"> But levels of market inequality are high in Nordic and Continental welfare states </w:t>
      </w:r>
      <w:r w:rsidR="002D7707">
        <w:t>as well</w:t>
      </w:r>
      <w:r w:rsidR="002D7707" w:rsidRPr="00A066CE">
        <w:t>.</w:t>
      </w:r>
      <w:r w:rsidR="002D7707" w:rsidRPr="00A066CE">
        <w:rPr>
          <w:rStyle w:val="FootnoteReference"/>
        </w:rPr>
        <w:footnoteReference w:id="9"/>
      </w:r>
    </w:p>
    <w:p w14:paraId="72D9CAEA" w14:textId="77777777" w:rsidR="002D7707" w:rsidRDefault="002D7707" w:rsidP="00931190">
      <w:pPr>
        <w:ind w:firstLine="720"/>
        <w:rPr>
          <w:lang w:eastAsia="ko-KR"/>
        </w:rPr>
      </w:pPr>
    </w:p>
    <w:p w14:paraId="284A765C" w14:textId="77777777" w:rsidR="002D7707" w:rsidRPr="00A066CE" w:rsidRDefault="002D7707" w:rsidP="00BF519C">
      <w:pPr>
        <w:keepNext/>
        <w:spacing w:line="480" w:lineRule="auto"/>
        <w:rPr>
          <w:lang w:eastAsia="ko-KR"/>
        </w:rPr>
      </w:pPr>
      <w:r>
        <w:rPr>
          <w:lang w:eastAsia="ko-KR"/>
        </w:rPr>
        <w:lastRenderedPageBreak/>
        <w:t>ADDITIONAL DETERMINANTS OF REDISTRIBUTION</w:t>
      </w:r>
    </w:p>
    <w:p w14:paraId="4BAB6AEF" w14:textId="77777777" w:rsidR="002D7707" w:rsidRPr="00A066CE" w:rsidRDefault="002D7707" w:rsidP="00BF519C">
      <w:pPr>
        <w:rPr>
          <w:i/>
          <w:lang w:eastAsia="ko-KR"/>
        </w:rPr>
      </w:pPr>
    </w:p>
    <w:p w14:paraId="0A321F8E" w14:textId="7BAE4EB9" w:rsidR="002D7707" w:rsidRPr="00A066CE" w:rsidRDefault="00987596" w:rsidP="00BD2B9F">
      <w:pPr>
        <w:spacing w:line="480" w:lineRule="auto"/>
        <w:ind w:firstLine="720"/>
        <w:jc w:val="both"/>
        <w:rPr>
          <w:lang w:eastAsia="ko-KR"/>
        </w:rPr>
      </w:pPr>
      <w:r w:rsidRPr="00C76048">
        <w:rPr>
          <w:lang w:eastAsia="ko-KR"/>
        </w:rPr>
        <w:t>Scholars rel</w:t>
      </w:r>
      <w:r w:rsidR="00BA59FB">
        <w:rPr>
          <w:lang w:eastAsia="ko-KR"/>
        </w:rPr>
        <w:t>y</w:t>
      </w:r>
      <w:r w:rsidRPr="00C76048">
        <w:rPr>
          <w:lang w:eastAsia="ko-KR"/>
        </w:rPr>
        <w:t xml:space="preserve"> on additional variables to explain variation in redistribution across democracies.</w:t>
      </w:r>
      <w:r>
        <w:rPr>
          <w:lang w:eastAsia="ko-KR"/>
        </w:rPr>
        <w:t xml:space="preserve"> </w:t>
      </w:r>
      <w:r w:rsidR="0078201E">
        <w:rPr>
          <w:lang w:eastAsia="ko-KR"/>
        </w:rPr>
        <w:t>According to</w:t>
      </w:r>
      <w:r w:rsidR="00FF4327">
        <w:rPr>
          <w:lang w:eastAsia="ko-KR"/>
        </w:rPr>
        <w:t xml:space="preserve"> power resources theor</w:t>
      </w:r>
      <w:r w:rsidR="004076BA">
        <w:rPr>
          <w:lang w:eastAsia="ko-KR"/>
        </w:rPr>
        <w:t>y</w:t>
      </w:r>
      <w:r w:rsidR="00EF4987">
        <w:rPr>
          <w:lang w:eastAsia="ko-KR"/>
        </w:rPr>
        <w:t xml:space="preserve">, </w:t>
      </w:r>
      <w:r w:rsidR="00FF4327">
        <w:rPr>
          <w:lang w:eastAsia="ko-KR"/>
        </w:rPr>
        <w:t xml:space="preserve">union strength </w:t>
      </w:r>
      <w:r w:rsidR="002C739A">
        <w:rPr>
          <w:lang w:eastAsia="ko-KR"/>
        </w:rPr>
        <w:t xml:space="preserve">(mostly operationalized as union density) </w:t>
      </w:r>
      <w:r w:rsidR="00EF4987">
        <w:rPr>
          <w:lang w:eastAsia="ko-KR"/>
        </w:rPr>
        <w:t xml:space="preserve">and left </w:t>
      </w:r>
      <w:r w:rsidR="005979C5">
        <w:rPr>
          <w:lang w:eastAsia="ko-KR"/>
        </w:rPr>
        <w:t>governments</w:t>
      </w:r>
      <w:r w:rsidR="00843184">
        <w:rPr>
          <w:lang w:eastAsia="ko-KR"/>
        </w:rPr>
        <w:t xml:space="preserve"> </w:t>
      </w:r>
      <w:r w:rsidR="0078201E">
        <w:rPr>
          <w:lang w:eastAsia="ko-KR"/>
        </w:rPr>
        <w:t>increase</w:t>
      </w:r>
      <w:r w:rsidR="00843184">
        <w:rPr>
          <w:lang w:eastAsia="ko-KR"/>
        </w:rPr>
        <w:t xml:space="preserve"> </w:t>
      </w:r>
      <w:r w:rsidR="00F54E13">
        <w:rPr>
          <w:lang w:eastAsia="ko-KR"/>
        </w:rPr>
        <w:t>redistributi</w:t>
      </w:r>
      <w:r w:rsidR="00DD2C20">
        <w:rPr>
          <w:lang w:eastAsia="ko-KR"/>
        </w:rPr>
        <w:t>ve spending</w:t>
      </w:r>
      <w:r w:rsidR="00A02924">
        <w:rPr>
          <w:lang w:eastAsia="ko-KR"/>
        </w:rPr>
        <w:t xml:space="preserve"> (Bradley et al. 2003; Huber and Stephens</w:t>
      </w:r>
      <w:r w:rsidR="00843184">
        <w:rPr>
          <w:lang w:eastAsia="ko-KR"/>
        </w:rPr>
        <w:t xml:space="preserve"> 2001, 2012)</w:t>
      </w:r>
      <w:r w:rsidR="00FF4327">
        <w:rPr>
          <w:lang w:eastAsia="ko-KR"/>
        </w:rPr>
        <w:t xml:space="preserve">. </w:t>
      </w:r>
      <w:r w:rsidR="00843184">
        <w:rPr>
          <w:lang w:eastAsia="ko-KR"/>
        </w:rPr>
        <w:t>R</w:t>
      </w:r>
      <w:r w:rsidR="00FF4327">
        <w:rPr>
          <w:lang w:eastAsia="ko-KR"/>
        </w:rPr>
        <w:t xml:space="preserve">ecent applications of the theory </w:t>
      </w:r>
      <w:r w:rsidR="00FC2FA6">
        <w:rPr>
          <w:lang w:eastAsia="ko-KR"/>
        </w:rPr>
        <w:t>also link</w:t>
      </w:r>
      <w:r w:rsidR="00EF4987">
        <w:rPr>
          <w:lang w:eastAsia="ko-KR"/>
        </w:rPr>
        <w:t xml:space="preserve"> </w:t>
      </w:r>
      <w:r w:rsidR="00843184">
        <w:rPr>
          <w:lang w:eastAsia="ko-KR"/>
        </w:rPr>
        <w:t>these variables</w:t>
      </w:r>
      <w:r w:rsidR="00EF4987">
        <w:rPr>
          <w:lang w:eastAsia="ko-KR"/>
        </w:rPr>
        <w:t xml:space="preserve"> </w:t>
      </w:r>
      <w:r w:rsidR="0078201E">
        <w:rPr>
          <w:lang w:eastAsia="ko-KR"/>
        </w:rPr>
        <w:t>to</w:t>
      </w:r>
      <w:r w:rsidR="00DD2C20">
        <w:rPr>
          <w:lang w:eastAsia="ko-KR"/>
        </w:rPr>
        <w:t xml:space="preserve"> equality in</w:t>
      </w:r>
      <w:r w:rsidR="0078201E">
        <w:rPr>
          <w:lang w:eastAsia="ko-KR"/>
        </w:rPr>
        <w:t xml:space="preserve"> </w:t>
      </w:r>
      <w:r w:rsidR="00AF4AB5">
        <w:rPr>
          <w:lang w:eastAsia="ko-KR"/>
        </w:rPr>
        <w:t xml:space="preserve">the distribution of </w:t>
      </w:r>
      <w:r w:rsidR="0078201E">
        <w:rPr>
          <w:lang w:eastAsia="ko-KR"/>
        </w:rPr>
        <w:t>market income</w:t>
      </w:r>
      <w:r w:rsidR="00EF4987">
        <w:rPr>
          <w:lang w:eastAsia="ko-KR"/>
        </w:rPr>
        <w:t xml:space="preserve"> (</w:t>
      </w:r>
      <w:r w:rsidR="00AF4AB5">
        <w:rPr>
          <w:lang w:eastAsia="ko-KR"/>
        </w:rPr>
        <w:t xml:space="preserve">Morgan and Kelly 2013; </w:t>
      </w:r>
      <w:r w:rsidR="00EF4987">
        <w:rPr>
          <w:lang w:eastAsia="ko-KR"/>
        </w:rPr>
        <w:t xml:space="preserve">Volscho and Kelly 2012, 681). </w:t>
      </w:r>
      <w:r w:rsidR="001475A4">
        <w:rPr>
          <w:lang w:eastAsia="ko-KR"/>
        </w:rPr>
        <w:t>Finally, s</w:t>
      </w:r>
      <w:r w:rsidR="005713F4">
        <w:rPr>
          <w:lang w:eastAsia="ko-KR"/>
        </w:rPr>
        <w:t xml:space="preserve">cholars </w:t>
      </w:r>
      <w:r w:rsidR="001475A4">
        <w:rPr>
          <w:lang w:eastAsia="ko-KR"/>
        </w:rPr>
        <w:t>relate the institution of corporatism, which is associated with lower wage differentials (Rueda 2008), to</w:t>
      </w:r>
      <w:r w:rsidR="00843184">
        <w:rPr>
          <w:lang w:eastAsia="ko-KR"/>
        </w:rPr>
        <w:t xml:space="preserve"> </w:t>
      </w:r>
      <w:r w:rsidR="00860943">
        <w:rPr>
          <w:lang w:eastAsia="ko-KR"/>
        </w:rPr>
        <w:t xml:space="preserve">left governments and </w:t>
      </w:r>
      <w:r w:rsidR="00843184">
        <w:rPr>
          <w:lang w:eastAsia="ko-KR"/>
        </w:rPr>
        <w:t>union strength</w:t>
      </w:r>
      <w:r w:rsidR="005979C5">
        <w:rPr>
          <w:lang w:eastAsia="ko-KR"/>
        </w:rPr>
        <w:t xml:space="preserve">. </w:t>
      </w:r>
      <w:r w:rsidR="0078201E">
        <w:rPr>
          <w:lang w:eastAsia="ko-KR"/>
        </w:rPr>
        <w:t>We include power resources in our analysis</w:t>
      </w:r>
      <w:r w:rsidR="007D6F95">
        <w:rPr>
          <w:rStyle w:val="FootnoteReference"/>
          <w:lang w:eastAsia="ko-KR"/>
        </w:rPr>
        <w:footnoteReference w:id="10"/>
      </w:r>
      <w:r w:rsidR="004076BA">
        <w:rPr>
          <w:lang w:eastAsia="ko-KR"/>
        </w:rPr>
        <w:t xml:space="preserve"> and capture their effect on </w:t>
      </w:r>
      <w:r w:rsidR="00AF4AB5">
        <w:rPr>
          <w:lang w:eastAsia="ko-KR"/>
        </w:rPr>
        <w:t xml:space="preserve">market </w:t>
      </w:r>
      <w:r w:rsidR="002C739A">
        <w:rPr>
          <w:lang w:eastAsia="ko-KR"/>
        </w:rPr>
        <w:t>inequality</w:t>
      </w:r>
      <w:r w:rsidR="003E2C25">
        <w:rPr>
          <w:lang w:eastAsia="ko-KR"/>
        </w:rPr>
        <w:t xml:space="preserve"> </w:t>
      </w:r>
      <w:r w:rsidR="00CE5D18">
        <w:rPr>
          <w:lang w:eastAsia="ko-KR"/>
        </w:rPr>
        <w:t>in the context of instrumental variables estimation</w:t>
      </w:r>
      <w:r w:rsidR="002D7707">
        <w:rPr>
          <w:lang w:eastAsia="ko-KR"/>
        </w:rPr>
        <w:t>.</w:t>
      </w:r>
      <w:r w:rsidR="00EF4987">
        <w:rPr>
          <w:lang w:eastAsia="ko-KR"/>
        </w:rPr>
        <w:t xml:space="preserve"> </w:t>
      </w:r>
    </w:p>
    <w:p w14:paraId="3FF13E10" w14:textId="5249E932" w:rsidR="002D7707" w:rsidRPr="00A066CE" w:rsidRDefault="002D7707" w:rsidP="00BD2B9F">
      <w:pPr>
        <w:spacing w:line="480" w:lineRule="auto"/>
        <w:ind w:firstLine="720"/>
        <w:jc w:val="both"/>
      </w:pPr>
      <w:r w:rsidRPr="00A066CE">
        <w:t xml:space="preserve">Veto players speak to the relationship between government cohesiveness and policy. Both the number and the ideological distance among </w:t>
      </w:r>
      <w:r>
        <w:t xml:space="preserve">these </w:t>
      </w:r>
      <w:r w:rsidRPr="005713F4">
        <w:t>actors</w:t>
      </w:r>
      <w:r w:rsidRPr="00A066CE">
        <w:t xml:space="preserve"> matter for policy</w:t>
      </w:r>
      <w:r w:rsidR="00A02924">
        <w:t xml:space="preserve"> (Ha 2008; Tsebelis</w:t>
      </w:r>
      <w:r>
        <w:t xml:space="preserve"> </w:t>
      </w:r>
      <w:r>
        <w:lastRenderedPageBreak/>
        <w:t>2002)</w:t>
      </w:r>
      <w:r w:rsidRPr="00A066CE">
        <w:t xml:space="preserve">. As scholars have pointed out, both factors are inversely related to the capacity of a political system to implement new policies. </w:t>
      </w:r>
      <w:r w:rsidRPr="00A066CE">
        <w:rPr>
          <w:lang w:eastAsia="ko-KR"/>
        </w:rPr>
        <w:t>Since constitutional structures affect the number of national parties and politicians and their ideological distances,</w:t>
      </w:r>
      <w:r w:rsidR="0010396C">
        <w:rPr>
          <w:lang w:eastAsia="ko-KR"/>
        </w:rPr>
        <w:t xml:space="preserve"> the</w:t>
      </w:r>
      <w:r w:rsidRPr="00A066CE">
        <w:rPr>
          <w:lang w:eastAsia="ko-KR"/>
        </w:rPr>
        <w:t xml:space="preserve"> measure of veto players</w:t>
      </w:r>
      <w:r w:rsidR="0010396C">
        <w:rPr>
          <w:lang w:eastAsia="ko-KR"/>
        </w:rPr>
        <w:t xml:space="preserve"> we use</w:t>
      </w:r>
      <w:r w:rsidRPr="00A066CE">
        <w:rPr>
          <w:lang w:eastAsia="ko-KR"/>
        </w:rPr>
        <w:t>, t</w:t>
      </w:r>
      <w:r w:rsidRPr="00A066CE">
        <w:t>he political constraints index (polconiii)</w:t>
      </w:r>
      <w:r w:rsidR="00A02924">
        <w:t xml:space="preserve"> (Henisz</w:t>
      </w:r>
      <w:r>
        <w:t xml:space="preserve"> </w:t>
      </w:r>
      <w:r w:rsidR="00621DFB">
        <w:t>2017</w:t>
      </w:r>
      <w:r>
        <w:t>)</w:t>
      </w:r>
      <w:r w:rsidRPr="00A066CE">
        <w:t>, is</w:t>
      </w:r>
      <w:r w:rsidRPr="00A066CE">
        <w:rPr>
          <w:lang w:eastAsia="ko-KR"/>
        </w:rPr>
        <w:t xml:space="preserve"> simultaneously a measure of constitutional and partisan veto players</w:t>
      </w:r>
      <w:r w:rsidRPr="00A066CE">
        <w:t>.</w:t>
      </w:r>
      <w:r w:rsidRPr="00A066CE">
        <w:rPr>
          <w:rStyle w:val="FootnoteReference"/>
        </w:rPr>
        <w:footnoteReference w:id="11"/>
      </w:r>
      <w:r w:rsidRPr="00A066CE">
        <w:t xml:space="preserve"> Polconiii considers three constitutional veto players, the executive and (where they exist) both houses of parliament, and reflects heterogeneity in party composition within the legislative and executive branches as well as congruence in party control across branches. The index ranges from 0 to 1, 0 being the most cohesive, 1 the least. </w:t>
      </w:r>
    </w:p>
    <w:p w14:paraId="24E6BD7C" w14:textId="03B3FEF0" w:rsidR="002D7707" w:rsidRPr="00A066CE" w:rsidRDefault="00EE4012" w:rsidP="00E5063B">
      <w:pPr>
        <w:spacing w:line="480" w:lineRule="auto"/>
        <w:ind w:firstLine="720"/>
        <w:jc w:val="both"/>
      </w:pPr>
      <w:r>
        <w:t xml:space="preserve">While the theories </w:t>
      </w:r>
      <w:r w:rsidR="003E61A9">
        <w:t>we consider</w:t>
      </w:r>
      <w:r>
        <w:t xml:space="preserve"> differ on the sources of variation in government partisanship</w:t>
      </w:r>
      <w:r w:rsidR="007D6F95">
        <w:rPr>
          <w:rStyle w:val="FootnoteReference"/>
        </w:rPr>
        <w:footnoteReference w:id="12"/>
      </w:r>
      <w:r>
        <w:t>, w</w:t>
      </w:r>
      <w:r w:rsidR="008F798E" w:rsidRPr="00A066CE">
        <w:t>hat constitutes “the government”</w:t>
      </w:r>
      <w:r>
        <w:t xml:space="preserve"> – the </w:t>
      </w:r>
      <w:r w:rsidR="008F798E" w:rsidRPr="00A066CE">
        <w:t xml:space="preserve">kind of parliamentary support a cabinet </w:t>
      </w:r>
      <w:r w:rsidR="008F798E" w:rsidRPr="00A066CE">
        <w:lastRenderedPageBreak/>
        <w:t>enjoys</w:t>
      </w:r>
      <w:r>
        <w:t xml:space="preserve"> – means </w:t>
      </w:r>
      <w:r w:rsidR="008F798E" w:rsidRPr="00A066CE">
        <w:t>different things in different democracies (ranging from one-party majority rule in first-past-the-post presidential systems to multi-party minority coalition government in PR-parliamentary systems).</w:t>
      </w:r>
      <w:r w:rsidR="008F798E">
        <w:rPr>
          <w:rStyle w:val="FootnoteReference"/>
        </w:rPr>
        <w:footnoteReference w:id="13"/>
      </w:r>
      <w:r w:rsidR="00F53858">
        <w:t xml:space="preserve"> </w:t>
      </w:r>
      <w:r w:rsidR="00FC2FA6">
        <w:rPr>
          <w:color w:val="000000"/>
        </w:rPr>
        <w:t xml:space="preserve">Because polconiii </w:t>
      </w:r>
      <w:r w:rsidR="00F53858">
        <w:rPr>
          <w:color w:val="000000"/>
        </w:rPr>
        <w:t xml:space="preserve">is silent on </w:t>
      </w:r>
      <w:r w:rsidR="00FC2FA6">
        <w:rPr>
          <w:color w:val="000000"/>
        </w:rPr>
        <w:t>the ideology of the government</w:t>
      </w:r>
      <w:r w:rsidR="00F53858">
        <w:t>, we also include</w:t>
      </w:r>
      <w:r>
        <w:t xml:space="preserve"> </w:t>
      </w:r>
      <w:r w:rsidR="00E5063B">
        <w:t>a</w:t>
      </w:r>
      <w:r w:rsidR="00E5063B" w:rsidRPr="00A066CE">
        <w:t xml:space="preserve"> measure of </w:t>
      </w:r>
      <w:r w:rsidR="00E5063B">
        <w:t>the ideology of</w:t>
      </w:r>
      <w:r w:rsidR="00E5063B" w:rsidRPr="00A066CE">
        <w:t xml:space="preserve"> the chief executive</w:t>
      </w:r>
      <w:r w:rsidR="00E5063B">
        <w:t>’s party</w:t>
      </w:r>
      <w:r w:rsidR="00E5063B" w:rsidRPr="00A066CE">
        <w:t xml:space="preserve"> from the Database of Political Institutions</w:t>
      </w:r>
      <w:r w:rsidR="00E5063B">
        <w:t xml:space="preserve"> (</w:t>
      </w:r>
      <w:r w:rsidR="00E5063B" w:rsidRPr="00A066CE">
        <w:t>Beck</w:t>
      </w:r>
      <w:r w:rsidR="005549DA">
        <w:t xml:space="preserve">, </w:t>
      </w:r>
      <w:r w:rsidR="005549DA" w:rsidRPr="009C1199">
        <w:rPr>
          <w:color w:val="000000"/>
        </w:rPr>
        <w:t>Clarke, Groff, and Walsh</w:t>
      </w:r>
      <w:r w:rsidR="005549DA">
        <w:rPr>
          <w:color w:val="000000"/>
        </w:rPr>
        <w:t xml:space="preserve"> </w:t>
      </w:r>
      <w:r w:rsidR="00E5063B">
        <w:t>2001).</w:t>
      </w:r>
      <w:r w:rsidR="002D7707" w:rsidRPr="00A066CE">
        <w:t xml:space="preserve"> </w:t>
      </w:r>
      <w:r w:rsidR="002D7707">
        <w:t>Our</w:t>
      </w:r>
      <w:r w:rsidR="002D7707" w:rsidRPr="00A066CE">
        <w:t xml:space="preserve"> variable takes a value of 1 if the party of the chief executive can be construed as left of center and a 0 otherwise. </w:t>
      </w:r>
    </w:p>
    <w:p w14:paraId="43001770" w14:textId="562ADC16" w:rsidR="002D7707" w:rsidRPr="00A066CE" w:rsidRDefault="002D7707" w:rsidP="00F377A9">
      <w:pPr>
        <w:spacing w:line="480" w:lineRule="auto"/>
        <w:ind w:firstLine="720"/>
        <w:jc w:val="both"/>
        <w:rPr>
          <w:lang w:eastAsia="ko-KR"/>
        </w:rPr>
      </w:pPr>
      <w:r w:rsidRPr="00A066CE">
        <w:t>As originally formulated</w:t>
      </w:r>
      <w:r w:rsidRPr="00A066CE">
        <w:rPr>
          <w:lang w:eastAsia="ko-KR"/>
        </w:rPr>
        <w:t>, t</w:t>
      </w:r>
      <w:r w:rsidRPr="00A066CE">
        <w:t>he median</w:t>
      </w:r>
      <w:r w:rsidR="00F15C74">
        <w:t>-</w:t>
      </w:r>
      <w:r w:rsidRPr="00A066CE">
        <w:t>voter model presupposed that all eligible voters in a polity actually vote</w:t>
      </w:r>
      <w:r>
        <w:t xml:space="preserve"> (</w:t>
      </w:r>
      <w:r w:rsidRPr="00A066CE">
        <w:t>Larcin</w:t>
      </w:r>
      <w:r>
        <w:t>ese 2007, 575; Mahler 2008, 162)</w:t>
      </w:r>
      <w:r w:rsidRPr="00A066CE">
        <w:t>.</w:t>
      </w:r>
      <w:r w:rsidRPr="00A066CE">
        <w:rPr>
          <w:lang w:eastAsia="ko-KR"/>
        </w:rPr>
        <w:t xml:space="preserve"> More recently, some have argued that </w:t>
      </w:r>
      <w:r w:rsidRPr="00A066CE">
        <w:t xml:space="preserve">the tax rate as well as the portion of government expenditures devoted to transfers increases with </w:t>
      </w:r>
      <w:r w:rsidRPr="00A066CE">
        <w:rPr>
          <w:lang w:eastAsia="ko-KR"/>
        </w:rPr>
        <w:t>electoral turnout</w:t>
      </w:r>
      <w:r>
        <w:rPr>
          <w:lang w:eastAsia="ko-KR"/>
        </w:rPr>
        <w:t xml:space="preserve"> (</w:t>
      </w:r>
      <w:r w:rsidRPr="00A066CE">
        <w:t>Boix 2</w:t>
      </w:r>
      <w:r w:rsidR="00A02924">
        <w:t>003, 171-72; Mahler</w:t>
      </w:r>
      <w:r>
        <w:t xml:space="preserve"> 2008</w:t>
      </w:r>
      <w:r w:rsidR="005549DA">
        <w:t>;</w:t>
      </w:r>
      <w:r>
        <w:t xml:space="preserve"> 2010)</w:t>
      </w:r>
      <w:r w:rsidRPr="00A066CE">
        <w:rPr>
          <w:lang w:eastAsia="ko-KR"/>
        </w:rPr>
        <w:t xml:space="preserve">. Others, however, have presented </w:t>
      </w:r>
      <w:r w:rsidRPr="00A066CE">
        <w:t xml:space="preserve">evidence that </w:t>
      </w:r>
      <w:r w:rsidRPr="00A066CE">
        <w:rPr>
          <w:lang w:eastAsia="ko-KR"/>
        </w:rPr>
        <w:t>poor people are much le</w:t>
      </w:r>
      <w:r>
        <w:rPr>
          <w:lang w:eastAsia="ko-KR"/>
        </w:rPr>
        <w:t xml:space="preserve">ss likely to vote than the </w:t>
      </w:r>
      <w:r w:rsidR="005979C5">
        <w:rPr>
          <w:lang w:eastAsia="ko-KR"/>
        </w:rPr>
        <w:t>well-</w:t>
      </w:r>
      <w:r w:rsidR="005979C5" w:rsidRPr="00A066CE">
        <w:rPr>
          <w:lang w:eastAsia="ko-KR"/>
        </w:rPr>
        <w:t>off</w:t>
      </w:r>
      <w:r>
        <w:rPr>
          <w:lang w:eastAsia="ko-KR"/>
        </w:rPr>
        <w:t xml:space="preserve"> (</w:t>
      </w:r>
      <w:r w:rsidRPr="00A066CE">
        <w:t>Blais 2000; Franzese 2002; Kenworthy and Pontusson 2005; L</w:t>
      </w:r>
      <w:r w:rsidR="00A02924">
        <w:t>arcinese</w:t>
      </w:r>
      <w:r>
        <w:t xml:space="preserve"> 2007; Mahler 2008, 167)</w:t>
      </w:r>
      <w:r w:rsidRPr="00A066CE">
        <w:rPr>
          <w:lang w:eastAsia="ko-KR"/>
        </w:rPr>
        <w:t xml:space="preserve"> and that political participation is inversely related to economic inequality</w:t>
      </w:r>
      <w:r>
        <w:rPr>
          <w:lang w:eastAsia="ko-KR"/>
        </w:rPr>
        <w:t xml:space="preserve"> (</w:t>
      </w:r>
      <w:r w:rsidR="00A02924">
        <w:t>Solt</w:t>
      </w:r>
      <w:r>
        <w:t xml:space="preserve"> 2008)</w:t>
      </w:r>
      <w:r w:rsidRPr="00A066CE">
        <w:rPr>
          <w:lang w:eastAsia="ko-KR"/>
        </w:rPr>
        <w:t xml:space="preserve">. </w:t>
      </w:r>
      <w:r w:rsidR="00F53858">
        <w:rPr>
          <w:color w:val="000000"/>
        </w:rPr>
        <w:t xml:space="preserve">A recent careful analysis using data on fourteen </w:t>
      </w:r>
      <w:r w:rsidR="00A472BC">
        <w:rPr>
          <w:color w:val="000000"/>
        </w:rPr>
        <w:t>develop</w:t>
      </w:r>
      <w:r w:rsidR="00C73907">
        <w:rPr>
          <w:color w:val="000000"/>
        </w:rPr>
        <w:t>ed</w:t>
      </w:r>
      <w:r w:rsidR="00A472BC">
        <w:rPr>
          <w:color w:val="000000"/>
        </w:rPr>
        <w:t xml:space="preserve"> countries</w:t>
      </w:r>
      <w:r w:rsidR="00F53858">
        <w:rPr>
          <w:color w:val="000000"/>
        </w:rPr>
        <w:t xml:space="preserve"> concluded that increases in turnout tend to increase redistribution by reducing the income skew </w:t>
      </w:r>
      <w:r w:rsidR="00DD2C20">
        <w:rPr>
          <w:color w:val="000000"/>
        </w:rPr>
        <w:t>in turnout (Mahler</w:t>
      </w:r>
      <w:r w:rsidR="005549DA">
        <w:rPr>
          <w:color w:val="000000"/>
        </w:rPr>
        <w:t xml:space="preserve">, </w:t>
      </w:r>
      <w:r w:rsidR="005549DA" w:rsidRPr="00FC2FA6">
        <w:rPr>
          <w:color w:val="000000"/>
        </w:rPr>
        <w:t>Jesuit, and Paradowski</w:t>
      </w:r>
      <w:r w:rsidR="00DD2C20">
        <w:rPr>
          <w:color w:val="000000"/>
        </w:rPr>
        <w:t xml:space="preserve"> 2014)</w:t>
      </w:r>
      <w:r w:rsidRPr="00A066CE">
        <w:rPr>
          <w:lang w:eastAsia="ko-KR"/>
        </w:rPr>
        <w:t xml:space="preserve">. In </w:t>
      </w:r>
      <w:r w:rsidRPr="00A066CE">
        <w:rPr>
          <w:lang w:eastAsia="ko-KR"/>
        </w:rPr>
        <w:lastRenderedPageBreak/>
        <w:t xml:space="preserve">the </w:t>
      </w:r>
      <w:r w:rsidR="00AE09FA">
        <w:rPr>
          <w:lang w:eastAsia="ko-KR"/>
        </w:rPr>
        <w:t>statistical</w:t>
      </w:r>
      <w:r w:rsidR="00AE09FA" w:rsidRPr="00A066CE">
        <w:rPr>
          <w:lang w:eastAsia="ko-KR"/>
        </w:rPr>
        <w:t xml:space="preserve"> </w:t>
      </w:r>
      <w:r w:rsidRPr="00A066CE">
        <w:rPr>
          <w:lang w:eastAsia="ko-KR"/>
        </w:rPr>
        <w:t>analysis, turnout is defined as the percentage of registered voters who cast votes in the most recent parliamentary elections</w:t>
      </w:r>
      <w:r>
        <w:rPr>
          <w:lang w:eastAsia="ko-KR"/>
        </w:rPr>
        <w:t xml:space="preserve"> (</w:t>
      </w:r>
      <w:r w:rsidR="00A02924">
        <w:t>IDEA</w:t>
      </w:r>
      <w:r>
        <w:t xml:space="preserve"> </w:t>
      </w:r>
      <w:r w:rsidR="00621DFB">
        <w:t>2017</w:t>
      </w:r>
      <w:r>
        <w:t>)</w:t>
      </w:r>
      <w:r w:rsidRPr="00A066CE">
        <w:rPr>
          <w:lang w:eastAsia="ko-KR"/>
        </w:rPr>
        <w:t>.</w:t>
      </w:r>
      <w:r w:rsidR="005979C5">
        <w:rPr>
          <w:rStyle w:val="FootnoteReference"/>
          <w:lang w:eastAsia="ko-KR"/>
        </w:rPr>
        <w:footnoteReference w:id="14"/>
      </w:r>
      <w:r w:rsidR="00942985">
        <w:rPr>
          <w:lang w:eastAsia="ko-KR"/>
        </w:rPr>
        <w:t xml:space="preserve"> </w:t>
      </w:r>
    </w:p>
    <w:p w14:paraId="5287749B" w14:textId="690EF69B" w:rsidR="005713F4" w:rsidRDefault="002D7707" w:rsidP="005405DF">
      <w:pPr>
        <w:spacing w:line="480" w:lineRule="auto"/>
        <w:ind w:firstLine="720"/>
        <w:jc w:val="both"/>
        <w:rPr>
          <w:lang w:eastAsia="ko-KR"/>
        </w:rPr>
      </w:pPr>
      <w:r>
        <w:rPr>
          <w:lang w:eastAsia="ko-KR"/>
        </w:rPr>
        <w:t>We</w:t>
      </w:r>
      <w:r w:rsidRPr="00A066CE">
        <w:rPr>
          <w:lang w:eastAsia="ko-KR"/>
        </w:rPr>
        <w:t xml:space="preserve"> also control for a handful of economic and demographic factors, all of which are routinely included in cross-national analyses of </w:t>
      </w:r>
      <w:r w:rsidR="005F534B">
        <w:rPr>
          <w:lang w:eastAsia="ko-KR"/>
        </w:rPr>
        <w:t>welfare spending</w:t>
      </w:r>
      <w:r w:rsidRPr="00A066CE">
        <w:rPr>
          <w:lang w:eastAsia="ko-KR"/>
        </w:rPr>
        <w:t>.</w:t>
      </w:r>
      <w:r w:rsidRPr="00A066CE">
        <w:rPr>
          <w:rStyle w:val="FootnoteReference"/>
        </w:rPr>
        <w:t xml:space="preserve"> </w:t>
      </w:r>
      <w:r>
        <w:rPr>
          <w:lang w:eastAsia="ko-KR"/>
        </w:rPr>
        <w:t>T</w:t>
      </w:r>
      <w:r w:rsidRPr="00A066CE">
        <w:rPr>
          <w:lang w:eastAsia="ko-KR"/>
        </w:rPr>
        <w:t>he variables were obtained from the World Development Indicators database</w:t>
      </w:r>
      <w:r>
        <w:rPr>
          <w:lang w:eastAsia="ko-KR"/>
        </w:rPr>
        <w:t xml:space="preserve"> (</w:t>
      </w:r>
      <w:r w:rsidR="00A02924">
        <w:t>World Bank</w:t>
      </w:r>
      <w:r>
        <w:t xml:space="preserve"> 2014)</w:t>
      </w:r>
      <w:r w:rsidRPr="00A066CE">
        <w:rPr>
          <w:lang w:eastAsia="ko-KR"/>
        </w:rPr>
        <w:t xml:space="preserve">. </w:t>
      </w:r>
      <w:r>
        <w:rPr>
          <w:lang w:eastAsia="ko-KR"/>
        </w:rPr>
        <w:t>Economic development</w:t>
      </w:r>
      <w:r w:rsidRPr="00A066CE">
        <w:rPr>
          <w:lang w:eastAsia="ko-KR"/>
        </w:rPr>
        <w:t xml:space="preserve"> expands the tax base necessary for a government to redistribute income</w:t>
      </w:r>
      <w:r>
        <w:rPr>
          <w:rStyle w:val="FootnoteReference"/>
          <w:lang w:eastAsia="ko-KR"/>
        </w:rPr>
        <w:t xml:space="preserve"> </w:t>
      </w:r>
      <w:r w:rsidR="00A02924">
        <w:t>(Boix</w:t>
      </w:r>
      <w:r>
        <w:t xml:space="preserve"> 2001).</w:t>
      </w:r>
      <w:r w:rsidRPr="00A066CE">
        <w:rPr>
          <w:lang w:eastAsia="ko-KR"/>
        </w:rPr>
        <w:t xml:space="preserve"> The level of development is captured by GDP per capita (in </w:t>
      </w:r>
      <w:r>
        <w:rPr>
          <w:lang w:eastAsia="ko-KR"/>
        </w:rPr>
        <w:t>thousands</w:t>
      </w:r>
      <w:r w:rsidRPr="00A066CE">
        <w:rPr>
          <w:lang w:eastAsia="ko-KR"/>
        </w:rPr>
        <w:t xml:space="preserve"> of inflation-adju</w:t>
      </w:r>
      <w:r>
        <w:rPr>
          <w:lang w:eastAsia="ko-KR"/>
        </w:rPr>
        <w:t xml:space="preserve">sted </w:t>
      </w:r>
      <w:r w:rsidR="005F534B">
        <w:rPr>
          <w:lang w:eastAsia="ko-KR"/>
        </w:rPr>
        <w:t xml:space="preserve">2011 </w:t>
      </w:r>
      <w:r>
        <w:rPr>
          <w:lang w:eastAsia="ko-KR"/>
        </w:rPr>
        <w:t>international dollars)</w:t>
      </w:r>
      <w:r w:rsidRPr="00A066CE">
        <w:rPr>
          <w:lang w:eastAsia="ko-KR"/>
        </w:rPr>
        <w:t>. Economic growth is likely to reduce the need for redistribution, while simultaneously increasing its feasibility due to expanded tax collection.</w:t>
      </w:r>
      <w:r>
        <w:rPr>
          <w:rStyle w:val="FootnoteReference"/>
          <w:lang w:eastAsia="ko-KR"/>
        </w:rPr>
        <w:footnoteReference w:id="15"/>
      </w:r>
      <w:r w:rsidRPr="00A066CE">
        <w:rPr>
          <w:lang w:eastAsia="ko-KR"/>
        </w:rPr>
        <w:t xml:space="preserve"> Unemployment (more precisely, the unemployment rate) should have the opposite effects. </w:t>
      </w:r>
    </w:p>
    <w:p w14:paraId="2E4069C3" w14:textId="50AB3119" w:rsidR="005979C5" w:rsidRDefault="00CC7952">
      <w:pPr>
        <w:spacing w:line="480" w:lineRule="auto"/>
        <w:ind w:firstLine="720"/>
        <w:jc w:val="both"/>
        <w:rPr>
          <w:lang w:eastAsia="ko-KR"/>
        </w:rPr>
      </w:pPr>
      <w:r>
        <w:rPr>
          <w:lang w:eastAsia="ko-KR"/>
        </w:rPr>
        <w:t>Scholars have found that f</w:t>
      </w:r>
      <w:r w:rsidR="002D7707" w:rsidRPr="00A066CE">
        <w:rPr>
          <w:lang w:eastAsia="ko-KR"/>
        </w:rPr>
        <w:t>emale labor force participation, or the percentage of women between 15 and 64 who are in the labor force; and a higher age dependency ratio, or the ratio of the population over 64, increase demand for redistribution</w:t>
      </w:r>
      <w:r w:rsidR="002D7707">
        <w:rPr>
          <w:lang w:eastAsia="ko-KR"/>
        </w:rPr>
        <w:t xml:space="preserve"> (</w:t>
      </w:r>
      <w:r w:rsidR="002D7707" w:rsidRPr="00A066CE">
        <w:t>Huber</w:t>
      </w:r>
      <w:r w:rsidR="005549DA">
        <w:t>, R</w:t>
      </w:r>
      <w:r w:rsidR="005549DA" w:rsidRPr="009C1199">
        <w:rPr>
          <w:color w:val="000000"/>
        </w:rPr>
        <w:t>agin, and Stephens</w:t>
      </w:r>
      <w:r w:rsidR="005549DA">
        <w:rPr>
          <w:color w:val="000000"/>
        </w:rPr>
        <w:t xml:space="preserve"> </w:t>
      </w:r>
      <w:r w:rsidR="002D7707" w:rsidRPr="00A066CE">
        <w:t>1993; Huber and Stephens 200</w:t>
      </w:r>
      <w:r w:rsidR="002D7707">
        <w:t>0; Haggard and Kaufman 2008, 40)</w:t>
      </w:r>
      <w:r w:rsidR="0010396C">
        <w:t xml:space="preserve">, </w:t>
      </w:r>
      <w:r w:rsidR="002D7707">
        <w:rPr>
          <w:lang w:eastAsia="ko-KR"/>
        </w:rPr>
        <w:t xml:space="preserve"> although </w:t>
      </w:r>
      <w:r w:rsidR="0010396C">
        <w:rPr>
          <w:lang w:eastAsia="ko-KR"/>
        </w:rPr>
        <w:t>probably more so</w:t>
      </w:r>
      <w:r w:rsidR="002D7707">
        <w:rPr>
          <w:lang w:eastAsia="ko-KR"/>
        </w:rPr>
        <w:t xml:space="preserve"> where </w:t>
      </w:r>
      <w:r w:rsidR="002D7707">
        <w:rPr>
          <w:lang w:eastAsia="ko-KR"/>
        </w:rPr>
        <w:lastRenderedPageBreak/>
        <w:t>the welfare state incentivizes women’s social and economic emancipation as opposed to a “male breadwinner” pattern of family relations</w:t>
      </w:r>
      <w:r w:rsidR="006D1FB7">
        <w:rPr>
          <w:lang w:eastAsia="ko-KR"/>
        </w:rPr>
        <w:t xml:space="preserve"> (Huber and Stephens 2000)</w:t>
      </w:r>
      <w:r w:rsidR="002D7707">
        <w:rPr>
          <w:lang w:eastAsia="ko-KR"/>
        </w:rPr>
        <w:t xml:space="preserve">. </w:t>
      </w:r>
    </w:p>
    <w:p w14:paraId="782629E4" w14:textId="0361DDB0" w:rsidR="002D7707" w:rsidRDefault="00E57FD5" w:rsidP="00995F9D">
      <w:pPr>
        <w:spacing w:line="480" w:lineRule="auto"/>
        <w:ind w:firstLine="720"/>
        <w:jc w:val="both"/>
        <w:rPr>
          <w:lang w:eastAsia="ko-KR"/>
        </w:rPr>
      </w:pPr>
      <w:r>
        <w:rPr>
          <w:lang w:eastAsia="ko-KR"/>
        </w:rPr>
        <w:t>Gl</w:t>
      </w:r>
      <w:r w:rsidR="002D7707" w:rsidRPr="00A066CE">
        <w:rPr>
          <w:lang w:eastAsia="ko-KR"/>
        </w:rPr>
        <w:t xml:space="preserve">obalization may </w:t>
      </w:r>
      <w:r w:rsidR="00843184">
        <w:rPr>
          <w:lang w:eastAsia="ko-KR"/>
        </w:rPr>
        <w:t xml:space="preserve">also </w:t>
      </w:r>
      <w:r w:rsidR="002D7707" w:rsidRPr="00A066CE">
        <w:rPr>
          <w:lang w:eastAsia="ko-KR"/>
        </w:rPr>
        <w:t>shape popular and government commitments to redistribution both by generating demands for compensation for economic risk</w:t>
      </w:r>
      <w:r w:rsidR="002D7707">
        <w:rPr>
          <w:lang w:eastAsia="ko-KR"/>
        </w:rPr>
        <w:t xml:space="preserve"> (</w:t>
      </w:r>
      <w:r w:rsidR="002D7707" w:rsidRPr="00A066CE">
        <w:t>Garret</w:t>
      </w:r>
      <w:r w:rsidR="00A02924">
        <w:t>t 1998; Rodrik 1998; Mares</w:t>
      </w:r>
      <w:r w:rsidR="002D7707">
        <w:t xml:space="preserve"> 2005)</w:t>
      </w:r>
      <w:r w:rsidR="002D7707" w:rsidRPr="00A066CE">
        <w:t xml:space="preserve"> </w:t>
      </w:r>
      <w:r w:rsidR="002D7707" w:rsidRPr="00A066CE">
        <w:rPr>
          <w:lang w:eastAsia="ko-KR"/>
        </w:rPr>
        <w:t>and by constraining through competition the ability of governments to respond to such demands</w:t>
      </w:r>
      <w:r w:rsidR="002D7707">
        <w:rPr>
          <w:lang w:eastAsia="ko-KR"/>
        </w:rPr>
        <w:t xml:space="preserve"> (</w:t>
      </w:r>
      <w:r w:rsidR="002D7707" w:rsidRPr="005C6E5D">
        <w:t>Bra</w:t>
      </w:r>
      <w:r w:rsidR="002D7707">
        <w:t>dley et al.</w:t>
      </w:r>
      <w:r w:rsidR="002D7707" w:rsidRPr="005C6E5D">
        <w:t xml:space="preserve"> </w:t>
      </w:r>
      <w:r w:rsidR="002D7707">
        <w:t xml:space="preserve">2003, </w:t>
      </w:r>
      <w:r w:rsidR="002D7707" w:rsidRPr="005C6E5D">
        <w:t>202</w:t>
      </w:r>
      <w:r w:rsidR="002D7707">
        <w:t xml:space="preserve">; </w:t>
      </w:r>
      <w:r w:rsidR="00A02924">
        <w:rPr>
          <w:rFonts w:eastAsia="Times New Roman"/>
          <w:color w:val="000000"/>
        </w:rPr>
        <w:t>Rudra</w:t>
      </w:r>
      <w:r w:rsidR="002D7707">
        <w:rPr>
          <w:rFonts w:eastAsia="Times New Roman"/>
          <w:color w:val="000000"/>
        </w:rPr>
        <w:t xml:space="preserve"> 2002</w:t>
      </w:r>
      <w:r w:rsidR="002D7707">
        <w:t>)</w:t>
      </w:r>
      <w:r w:rsidR="002D7707" w:rsidRPr="00A066CE">
        <w:rPr>
          <w:lang w:eastAsia="ko-KR"/>
        </w:rPr>
        <w:t xml:space="preserve">, though the findings in this literature are </w:t>
      </w:r>
      <w:r w:rsidR="002D7707">
        <w:rPr>
          <w:lang w:eastAsia="ko-KR"/>
        </w:rPr>
        <w:t>mixed (Ha 2012)</w:t>
      </w:r>
      <w:r w:rsidR="002D7707" w:rsidRPr="00A066CE">
        <w:rPr>
          <w:lang w:eastAsia="ko-KR"/>
        </w:rPr>
        <w:t xml:space="preserve">. </w:t>
      </w:r>
      <w:r w:rsidR="00F377A9">
        <w:rPr>
          <w:lang w:eastAsia="ko-KR"/>
        </w:rPr>
        <w:t>We employ two indicators of</w:t>
      </w:r>
      <w:r w:rsidR="002D7707">
        <w:rPr>
          <w:lang w:eastAsia="ko-KR"/>
        </w:rPr>
        <w:t xml:space="preserve"> economic globalization</w:t>
      </w:r>
      <w:r w:rsidR="00F377A9">
        <w:rPr>
          <w:lang w:eastAsia="ko-KR"/>
        </w:rPr>
        <w:t xml:space="preserve">: </w:t>
      </w:r>
      <w:r w:rsidR="00F377A9" w:rsidRPr="00995F9D">
        <w:rPr>
          <w:i/>
          <w:lang w:eastAsia="ko-KR"/>
        </w:rPr>
        <w:t>exports</w:t>
      </w:r>
      <w:r w:rsidR="00995F9D">
        <w:rPr>
          <w:lang w:eastAsia="ko-KR"/>
        </w:rPr>
        <w:t xml:space="preserve"> and </w:t>
      </w:r>
      <w:r w:rsidR="00995F9D" w:rsidRPr="00995F9D">
        <w:rPr>
          <w:i/>
          <w:lang w:eastAsia="ko-KR"/>
        </w:rPr>
        <w:t>imports</w:t>
      </w:r>
      <w:r w:rsidR="00F377A9">
        <w:rPr>
          <w:lang w:eastAsia="ko-KR"/>
        </w:rPr>
        <w:t xml:space="preserve"> </w:t>
      </w:r>
      <w:r w:rsidR="00995F9D">
        <w:rPr>
          <w:lang w:eastAsia="ko-KR"/>
        </w:rPr>
        <w:t xml:space="preserve">of </w:t>
      </w:r>
      <w:r w:rsidR="002D7707" w:rsidRPr="00007CA9">
        <w:rPr>
          <w:lang w:eastAsia="ko-KR"/>
        </w:rPr>
        <w:t>goods</w:t>
      </w:r>
      <w:r w:rsidR="00995F9D">
        <w:rPr>
          <w:lang w:eastAsia="ko-KR"/>
        </w:rPr>
        <w:t>, services and capital</w:t>
      </w:r>
      <w:r w:rsidR="002D7707" w:rsidRPr="00007CA9">
        <w:rPr>
          <w:lang w:eastAsia="ko-KR"/>
        </w:rPr>
        <w:t xml:space="preserve">, </w:t>
      </w:r>
      <w:r w:rsidR="00995F9D">
        <w:rPr>
          <w:lang w:eastAsia="ko-KR"/>
        </w:rPr>
        <w:t xml:space="preserve">expressed in current US international dollars, to capture the possibility that the </w:t>
      </w:r>
      <w:r w:rsidR="00A13DEF">
        <w:rPr>
          <w:lang w:eastAsia="ko-KR"/>
        </w:rPr>
        <w:t xml:space="preserve">absolute </w:t>
      </w:r>
      <w:r w:rsidR="00995F9D">
        <w:rPr>
          <w:lang w:eastAsia="ko-KR"/>
        </w:rPr>
        <w:t>volume of economic flows may create pressures for compensatory government spending</w:t>
      </w:r>
      <w:r w:rsidR="002D7707" w:rsidRPr="00A066CE">
        <w:rPr>
          <w:lang w:eastAsia="ko-KR"/>
        </w:rPr>
        <w:t>.</w:t>
      </w:r>
      <w:r w:rsidR="002D7707">
        <w:rPr>
          <w:lang w:eastAsia="ko-KR"/>
        </w:rPr>
        <w:t xml:space="preserve"> </w:t>
      </w:r>
    </w:p>
    <w:p w14:paraId="6B21F7AD" w14:textId="42C68EB3" w:rsidR="002D7707" w:rsidRDefault="00F377A9" w:rsidP="00BD2B9F">
      <w:pPr>
        <w:spacing w:line="480" w:lineRule="auto"/>
        <w:ind w:firstLine="720"/>
        <w:jc w:val="both"/>
        <w:rPr>
          <w:lang w:eastAsia="ko-KR"/>
        </w:rPr>
      </w:pPr>
      <w:r>
        <w:t>Further, we postulate</w:t>
      </w:r>
      <w:r w:rsidR="002D7707">
        <w:t xml:space="preserve"> that the duration of a country’s experience with democracy, or how many years a country has remained continuously democratic since its last regime transition, should affect income redistribution. Olson (1982) </w:t>
      </w:r>
      <w:r w:rsidR="005F534B">
        <w:t xml:space="preserve">suggested </w:t>
      </w:r>
      <w:r w:rsidR="002D7707">
        <w:t xml:space="preserve">that as the institutions and procedures of a democratic regime consolidate, distributional coalitions tend to form, seeking concentrated benefits for their members with diffuse costs for everybody else. </w:t>
      </w:r>
      <w:r w:rsidR="00C73907" w:rsidRPr="0010396C">
        <w:rPr>
          <w:i/>
        </w:rPr>
        <w:t>Durability</w:t>
      </w:r>
      <w:r w:rsidR="00C73907">
        <w:t>, from</w:t>
      </w:r>
      <w:r w:rsidR="002D7707">
        <w:t xml:space="preserve"> the Polity IV dataset</w:t>
      </w:r>
      <w:r w:rsidR="0010396C">
        <w:t>, is the measure of cumulative democratic experience we use</w:t>
      </w:r>
      <w:r w:rsidR="002D7707">
        <w:t xml:space="preserve"> (</w:t>
      </w:r>
      <w:r w:rsidR="00A02924">
        <w:rPr>
          <w:lang w:eastAsia="ko-KR"/>
        </w:rPr>
        <w:t>Marshall et al.</w:t>
      </w:r>
      <w:r w:rsidR="002D7707">
        <w:rPr>
          <w:lang w:eastAsia="ko-KR"/>
        </w:rPr>
        <w:t xml:space="preserve"> </w:t>
      </w:r>
      <w:r w:rsidR="00621DFB">
        <w:rPr>
          <w:lang w:eastAsia="ko-KR"/>
        </w:rPr>
        <w:t>2016</w:t>
      </w:r>
      <w:r w:rsidR="002D7707">
        <w:rPr>
          <w:lang w:eastAsia="ko-KR"/>
        </w:rPr>
        <w:t xml:space="preserve">). </w:t>
      </w:r>
    </w:p>
    <w:p w14:paraId="11279EC3" w14:textId="470798FD" w:rsidR="002D7707" w:rsidRDefault="002D7707" w:rsidP="00BD2B9F">
      <w:pPr>
        <w:spacing w:line="480" w:lineRule="auto"/>
        <w:ind w:firstLine="720"/>
        <w:jc w:val="both"/>
        <w:rPr>
          <w:lang w:eastAsia="ko-KR"/>
        </w:rPr>
      </w:pPr>
      <w:r>
        <w:rPr>
          <w:lang w:eastAsia="ko-KR"/>
        </w:rPr>
        <w:t>Finally, i</w:t>
      </w:r>
      <w:r w:rsidRPr="00A066CE">
        <w:rPr>
          <w:lang w:eastAsia="ko-KR"/>
        </w:rPr>
        <w:t xml:space="preserve">ndividuals usually see themselves (and are seen) as members of groups defined by social characteristics that </w:t>
      </w:r>
      <w:r>
        <w:rPr>
          <w:lang w:eastAsia="ko-KR"/>
        </w:rPr>
        <w:t xml:space="preserve">may </w:t>
      </w:r>
      <w:r w:rsidRPr="00A066CE">
        <w:rPr>
          <w:lang w:eastAsia="ko-KR"/>
        </w:rPr>
        <w:t>overlap with their economic class</w:t>
      </w:r>
      <w:r>
        <w:rPr>
          <w:lang w:eastAsia="ko-KR"/>
        </w:rPr>
        <w:t xml:space="preserve"> (</w:t>
      </w:r>
      <w:r w:rsidRPr="004608DB">
        <w:t>Shayo 2</w:t>
      </w:r>
      <w:r w:rsidR="00A02924">
        <w:t>009; Lupu and Pontusson</w:t>
      </w:r>
      <w:r>
        <w:t xml:space="preserve"> 2011)</w:t>
      </w:r>
      <w:r w:rsidRPr="00A066CE">
        <w:rPr>
          <w:lang w:eastAsia="ko-KR"/>
        </w:rPr>
        <w:t>. Social policies in turn define and target categories of citizens, whether individuals identify strongly wit</w:t>
      </w:r>
      <w:r>
        <w:rPr>
          <w:lang w:eastAsia="ko-KR"/>
        </w:rPr>
        <w:t>h these categories or not. Some studies</w:t>
      </w:r>
      <w:r w:rsidRPr="00A066CE">
        <w:rPr>
          <w:lang w:eastAsia="ko-KR"/>
        </w:rPr>
        <w:t xml:space="preserve"> demonstrate a negative association between ethnic fractionalization and </w:t>
      </w:r>
      <w:r>
        <w:rPr>
          <w:lang w:eastAsia="ko-KR"/>
        </w:rPr>
        <w:t>welfare effort (</w:t>
      </w:r>
      <w:r w:rsidR="000F1EAD">
        <w:t>Ales</w:t>
      </w:r>
      <w:r w:rsidR="00B05E38" w:rsidRPr="00A066CE">
        <w:t>ina</w:t>
      </w:r>
      <w:r w:rsidRPr="00A066CE">
        <w:t xml:space="preserve"> and Wacziarg 1998; </w:t>
      </w:r>
      <w:r w:rsidR="000F1EAD">
        <w:t>Alesin</w:t>
      </w:r>
      <w:r w:rsidR="00B05E38">
        <w:t>a</w:t>
      </w:r>
      <w:r w:rsidR="00A02924">
        <w:t xml:space="preserve"> and </w:t>
      </w:r>
      <w:r w:rsidR="000F1EAD">
        <w:t>Glaes</w:t>
      </w:r>
      <w:r w:rsidR="00B05E38">
        <w:t>er</w:t>
      </w:r>
      <w:r>
        <w:t xml:space="preserve"> 2004)</w:t>
      </w:r>
      <w:r>
        <w:rPr>
          <w:lang w:eastAsia="ko-KR"/>
        </w:rPr>
        <w:t>, a possibility that we control for in our analysis using the fractionalization data created by Alesina</w:t>
      </w:r>
      <w:r w:rsidR="005549DA">
        <w:rPr>
          <w:lang w:eastAsia="ko-KR"/>
        </w:rPr>
        <w:t xml:space="preserve">, </w:t>
      </w:r>
      <w:r w:rsidR="005549DA" w:rsidRPr="009C1199">
        <w:rPr>
          <w:color w:val="000000"/>
        </w:rPr>
        <w:t>Devleeschauwer, Easterly, Kurlat, and Wacziarg</w:t>
      </w:r>
      <w:r w:rsidR="005549DA">
        <w:rPr>
          <w:color w:val="000000"/>
        </w:rPr>
        <w:t xml:space="preserve"> </w:t>
      </w:r>
      <w:r>
        <w:rPr>
          <w:lang w:eastAsia="ko-KR"/>
        </w:rPr>
        <w:t xml:space="preserve">(2003). </w:t>
      </w:r>
    </w:p>
    <w:p w14:paraId="38025C82" w14:textId="77777777" w:rsidR="002D7707" w:rsidRDefault="002D7707" w:rsidP="00082D0B">
      <w:pPr>
        <w:rPr>
          <w:lang w:eastAsia="ko-KR"/>
        </w:rPr>
      </w:pPr>
    </w:p>
    <w:p w14:paraId="4DA3AD82" w14:textId="00CA5BE1" w:rsidR="002D7707" w:rsidRDefault="00AE09FA" w:rsidP="00082D0B">
      <w:pPr>
        <w:spacing w:line="480" w:lineRule="auto"/>
        <w:rPr>
          <w:lang w:eastAsia="ko-KR"/>
        </w:rPr>
      </w:pPr>
      <w:r>
        <w:rPr>
          <w:lang w:eastAsia="ko-KR"/>
        </w:rPr>
        <w:t xml:space="preserve">STATISTICAL </w:t>
      </w:r>
      <w:r w:rsidR="00995F9D">
        <w:rPr>
          <w:lang w:eastAsia="ko-KR"/>
        </w:rPr>
        <w:t>MODEL</w:t>
      </w:r>
    </w:p>
    <w:p w14:paraId="1B443C9B" w14:textId="77777777" w:rsidR="002D7707" w:rsidRDefault="002D7707" w:rsidP="00082D0B"/>
    <w:p w14:paraId="23D5BAC3" w14:textId="77777777" w:rsidR="002D7707" w:rsidRDefault="002D7707" w:rsidP="00E5063B">
      <w:pPr>
        <w:spacing w:line="480" w:lineRule="auto"/>
        <w:ind w:firstLine="720"/>
        <w:jc w:val="both"/>
      </w:pPr>
      <w:r>
        <w:t>A challenge all theories of redistributive politics face is that there are a number of</w:t>
      </w:r>
      <w:r w:rsidRPr="00A066CE">
        <w:t xml:space="preserve"> </w:t>
      </w:r>
      <w:r>
        <w:t>associations between</w:t>
      </w:r>
      <w:r w:rsidRPr="00A066CE">
        <w:t xml:space="preserve"> </w:t>
      </w:r>
      <w:r>
        <w:t xml:space="preserve">inequality and redistribution that may manifest themselves differently across countries and over time. To deal appropriately with this complexity, we decompose the effects of changes in inequality from those of levels, explore the possibility of reciprocal causation between inequality and redistribution, and model different temporal effects of inequality for various democracies. Accordingly, we provide three sets of models of </w:t>
      </w:r>
      <w:r w:rsidR="00D56CBA">
        <w:t>redistribution</w:t>
      </w:r>
      <w:r>
        <w:t xml:space="preserve">: a random intercepts model distinguishing between the effects of levels of and changes in inequality on levels of and changes in redistribution, two-stage least squares (2SLS) and </w:t>
      </w:r>
      <w:r>
        <w:rPr>
          <w:lang w:eastAsia="ko-KR"/>
        </w:rPr>
        <w:t>generalized method of moments (GMM) regressions</w:t>
      </w:r>
      <w:r>
        <w:t xml:space="preserve"> modeling inequality endogenously, and error correction models (ECM) capturing short-term and long-run determinants of redistribution for various clusters of countries.</w:t>
      </w:r>
    </w:p>
    <w:p w14:paraId="596A8402" w14:textId="77777777" w:rsidR="002D7707" w:rsidRDefault="002D7707" w:rsidP="00BD2B9F">
      <w:pPr>
        <w:spacing w:line="480" w:lineRule="auto"/>
        <w:ind w:firstLine="720"/>
        <w:jc w:val="both"/>
      </w:pPr>
      <w:r>
        <w:t>To separate cross-sectional from longitudinal effects, we adopt Bartels’ (2015) random intercepts model for time series cross-sectional data.</w:t>
      </w:r>
      <w:r w:rsidRPr="00567AE0">
        <w:t xml:space="preserve"> </w:t>
      </w:r>
      <w:r>
        <w:t xml:space="preserve">This model yields two kinds of estimates: the effect of levels of covariates measured as cluster means (the between-cluster effects), and the effect of deviations in units of measurement from these means (the within-cluster effects). </w:t>
      </w:r>
      <w:r w:rsidR="00377A3B">
        <w:t>B</w:t>
      </w:r>
      <w:r>
        <w:t xml:space="preserve">y including within- and between-cluster transformations of time-varying variables, the procedure removes the correlation between country level variables and the random effects. </w:t>
      </w:r>
      <w:r w:rsidR="00377A3B">
        <w:t>S</w:t>
      </w:r>
      <w:r>
        <w:t xml:space="preserve">pecifying random intercepts </w:t>
      </w:r>
      <w:r w:rsidR="00377A3B">
        <w:t xml:space="preserve">also </w:t>
      </w:r>
      <w:r>
        <w:t xml:space="preserve">allows for the inclusion of time constant variables, since the latter would not be correlated with the country indicators. </w:t>
      </w:r>
    </w:p>
    <w:p w14:paraId="66573144" w14:textId="2229708E" w:rsidR="002D7707" w:rsidRDefault="002D7707" w:rsidP="00BD2B9F">
      <w:pPr>
        <w:spacing w:line="480" w:lineRule="auto"/>
        <w:ind w:firstLine="720"/>
        <w:jc w:val="both"/>
      </w:pPr>
      <w:r>
        <w:rPr>
          <w:lang w:eastAsia="ko-KR"/>
        </w:rPr>
        <w:t xml:space="preserve">Since the variables </w:t>
      </w:r>
      <w:r w:rsidRPr="00D42607">
        <w:rPr>
          <w:i/>
          <w:lang w:eastAsia="ko-KR"/>
        </w:rPr>
        <w:t>corporatism</w:t>
      </w:r>
      <w:r>
        <w:rPr>
          <w:lang w:eastAsia="ko-KR"/>
        </w:rPr>
        <w:t xml:space="preserve"> and </w:t>
      </w:r>
      <w:r w:rsidRPr="00D42607">
        <w:rPr>
          <w:i/>
          <w:lang w:eastAsia="ko-KR"/>
        </w:rPr>
        <w:t>union density</w:t>
      </w:r>
      <w:r>
        <w:rPr>
          <w:lang w:eastAsia="ko-KR"/>
        </w:rPr>
        <w:t xml:space="preserve"> reduce the sample size </w:t>
      </w:r>
      <w:r w:rsidR="00336996">
        <w:rPr>
          <w:lang w:eastAsia="ko-KR"/>
        </w:rPr>
        <w:t>considerably, we</w:t>
      </w:r>
      <w:r>
        <w:rPr>
          <w:lang w:eastAsia="ko-KR"/>
        </w:rPr>
        <w:t xml:space="preserve"> estimate four different kinds of models. The first two exclude these variables, while two of the models compute jackknife as opposed to cluster robust standard errors. The latter control for any </w:t>
      </w:r>
      <w:r>
        <w:rPr>
          <w:lang w:eastAsia="ko-KR"/>
        </w:rPr>
        <w:lastRenderedPageBreak/>
        <w:t>pattern of heteroskedasticity should error variances differ across clusters.</w:t>
      </w:r>
      <w:r>
        <w:rPr>
          <w:rStyle w:val="FootnoteReference"/>
          <w:lang w:eastAsia="ko-KR"/>
        </w:rPr>
        <w:footnoteReference w:id="16"/>
      </w:r>
      <w:r>
        <w:rPr>
          <w:lang w:eastAsia="ko-KR"/>
        </w:rPr>
        <w:t xml:space="preserve"> Finally, we standardize coefficients so as to make direct comparisons of their size possible. Appendix A provides a list of countries in the overall analysis; Appendix B lists the countries used in the analysis with the reduced sample</w:t>
      </w:r>
      <w:r w:rsidRPr="00A066CE">
        <w:rPr>
          <w:lang w:eastAsia="ko-KR"/>
        </w:rPr>
        <w:t>.</w:t>
      </w:r>
    </w:p>
    <w:p w14:paraId="3A09F72A" w14:textId="1518F4D4" w:rsidR="002D7707" w:rsidRDefault="002D7707" w:rsidP="00BD2B9F">
      <w:pPr>
        <w:spacing w:line="480" w:lineRule="auto"/>
        <w:ind w:firstLine="720"/>
        <w:jc w:val="both"/>
        <w:rPr>
          <w:lang w:eastAsia="ko-KR"/>
        </w:rPr>
      </w:pPr>
      <w:r>
        <w:rPr>
          <w:lang w:eastAsia="ko-KR"/>
        </w:rPr>
        <w:t>One drawback to this kind of modeling is that it allows us to estimate the effects of inequality on redistribution, but not the reverse. Instrumental variables regression can account for the effects of changes in covariates on changes in income redistribution,</w:t>
      </w:r>
      <w:r>
        <w:t xml:space="preserve"> while controlling for reciprocal effects</w:t>
      </w:r>
      <w:r>
        <w:rPr>
          <w:lang w:eastAsia="ko-KR"/>
        </w:rPr>
        <w:t xml:space="preserve">. We pursue this analysis in three steps. In the first, we instrument </w:t>
      </w:r>
      <w:r w:rsidRPr="00C25A5C">
        <w:rPr>
          <w:i/>
          <w:lang w:eastAsia="ko-KR"/>
        </w:rPr>
        <w:t>market inequality</w:t>
      </w:r>
      <w:r>
        <w:rPr>
          <w:lang w:eastAsia="ko-KR"/>
        </w:rPr>
        <w:t xml:space="preserve"> with lags of redistribution and </w:t>
      </w:r>
      <w:r w:rsidR="00483DCD" w:rsidRPr="00697B17">
        <w:rPr>
          <w:i/>
          <w:lang w:eastAsia="ko-KR"/>
        </w:rPr>
        <w:t>imports</w:t>
      </w:r>
      <w:r>
        <w:rPr>
          <w:lang w:eastAsia="ko-KR"/>
        </w:rPr>
        <w:t xml:space="preserve"> in the context of 2SLS estimation.</w:t>
      </w:r>
      <w:r w:rsidR="00B24987">
        <w:rPr>
          <w:rStyle w:val="FootnoteReference"/>
        </w:rPr>
        <w:footnoteReference w:id="17"/>
      </w:r>
      <w:r w:rsidR="00B24987">
        <w:rPr>
          <w:lang w:eastAsia="ko-KR"/>
        </w:rPr>
        <w:t xml:space="preserve"> </w:t>
      </w:r>
      <w:r>
        <w:rPr>
          <w:lang w:eastAsia="ko-KR"/>
        </w:rPr>
        <w:t xml:space="preserve">This requires us to make the assumption – a very plausible one – that trade and capital </w:t>
      </w:r>
      <w:r w:rsidR="00483DCD">
        <w:rPr>
          <w:lang w:eastAsia="ko-KR"/>
        </w:rPr>
        <w:t>in</w:t>
      </w:r>
      <w:r>
        <w:rPr>
          <w:lang w:eastAsia="ko-KR"/>
        </w:rPr>
        <w:t>flows affect redistribution primarily through their effects on market inequality.</w:t>
      </w:r>
      <w:r w:rsidR="00B24987" w:rsidRPr="00B24987">
        <w:rPr>
          <w:rStyle w:val="FootnoteReference"/>
          <w:lang w:eastAsia="ko-KR"/>
        </w:rPr>
        <w:t xml:space="preserve"> </w:t>
      </w:r>
      <w:r w:rsidR="00B24987">
        <w:rPr>
          <w:rStyle w:val="FootnoteReference"/>
          <w:lang w:eastAsia="ko-KR"/>
        </w:rPr>
        <w:footnoteReference w:id="18"/>
      </w:r>
      <w:r>
        <w:rPr>
          <w:lang w:eastAsia="ko-KR"/>
        </w:rPr>
        <w:t xml:space="preserve"> As for the number of lags of </w:t>
      </w:r>
      <w:r w:rsidRPr="00C25A5C">
        <w:rPr>
          <w:i/>
          <w:lang w:eastAsia="ko-KR"/>
        </w:rPr>
        <w:t>redistribution</w:t>
      </w:r>
      <w:r>
        <w:rPr>
          <w:lang w:eastAsia="ko-KR"/>
        </w:rPr>
        <w:t xml:space="preserve"> employed, we add as many lags as we can determine are significantly correlated with the endogenous variable. Since lag number four is insignificantly related to market inequality, we do not instrument with further lags. We only provide over time within country estimates, not </w:t>
      </w:r>
      <w:r>
        <w:rPr>
          <w:lang w:eastAsia="ko-KR"/>
        </w:rPr>
        <w:lastRenderedPageBreak/>
        <w:t xml:space="preserve">only because fixed effects control for any possible omitted variables, but also because we are more interested in assessing any endogeneity occurring within countries over time. </w:t>
      </w:r>
    </w:p>
    <w:p w14:paraId="2B5BCA98" w14:textId="09850EC9" w:rsidR="002D7707" w:rsidRDefault="002D7707" w:rsidP="00BD2B9F">
      <w:pPr>
        <w:spacing w:line="480" w:lineRule="auto"/>
        <w:ind w:firstLine="720"/>
        <w:jc w:val="both"/>
        <w:rPr>
          <w:lang w:eastAsia="ko-KR"/>
        </w:rPr>
      </w:pPr>
      <w:r>
        <w:rPr>
          <w:lang w:eastAsia="ko-KR"/>
        </w:rPr>
        <w:t>Our second specification only differs from the first in that we use feasible efficient two-step GMM (Baum</w:t>
      </w:r>
      <w:r w:rsidR="005549DA">
        <w:rPr>
          <w:lang w:eastAsia="ko-KR"/>
        </w:rPr>
        <w:t xml:space="preserve">, Schaffer, and </w:t>
      </w:r>
      <w:r w:rsidR="005549DA" w:rsidRPr="009C1199">
        <w:rPr>
          <w:color w:val="000000"/>
        </w:rPr>
        <w:t>Stillman</w:t>
      </w:r>
      <w:r w:rsidR="005549DA">
        <w:rPr>
          <w:color w:val="000000"/>
        </w:rPr>
        <w:t xml:space="preserve"> </w:t>
      </w:r>
      <w:r>
        <w:rPr>
          <w:lang w:eastAsia="ko-KR"/>
        </w:rPr>
        <w:t xml:space="preserve">2003, 7) as opposed to 2SLS estimation. Although the first stage OLS estimates from feasible GMM do not differ from those of 2SLS, this approach, as its name indicates, increases the efficiency of the second stage results. 2SLS estimates are thus efficient for </w:t>
      </w:r>
      <w:r w:rsidR="001B1FBE">
        <w:rPr>
          <w:lang w:eastAsia="ko-KR"/>
        </w:rPr>
        <w:t>homoscedasticity</w:t>
      </w:r>
      <w:r>
        <w:rPr>
          <w:lang w:eastAsia="ko-KR"/>
        </w:rPr>
        <w:t xml:space="preserve"> only, whereas GMM estimates are</w:t>
      </w:r>
      <w:r w:rsidRPr="00661507">
        <w:rPr>
          <w:lang w:eastAsia="ko-KR"/>
        </w:rPr>
        <w:t xml:space="preserve"> efficient for arbitrary heteroskedasticity and autocorrelation</w:t>
      </w:r>
      <w:r>
        <w:rPr>
          <w:lang w:eastAsia="ko-KR"/>
        </w:rPr>
        <w:t xml:space="preserve">. In both cases, standard errors are robust to heteroskedasticity and autocorrelation within units. </w:t>
      </w:r>
    </w:p>
    <w:p w14:paraId="7B77F5DE" w14:textId="77777777" w:rsidR="002D7707" w:rsidRDefault="002D7707" w:rsidP="00377A3B">
      <w:pPr>
        <w:spacing w:line="480" w:lineRule="auto"/>
        <w:ind w:firstLine="720"/>
        <w:jc w:val="both"/>
      </w:pPr>
      <w:r>
        <w:rPr>
          <w:lang w:eastAsia="ko-KR"/>
        </w:rPr>
        <w:t xml:space="preserve">As a final check on the suitability of instrumental variables estimation, we provide estimates using two-step system GMM </w:t>
      </w:r>
      <w:r>
        <w:t>(Blundell and Bond 1998)</w:t>
      </w:r>
      <w:r>
        <w:rPr>
          <w:lang w:eastAsia="ko-KR"/>
        </w:rPr>
        <w:t>. Compared to feasible efficient GMM estimation, system GMM uses</w:t>
      </w:r>
      <w:r w:rsidRPr="00D7692C">
        <w:rPr>
          <w:lang w:eastAsia="ko-KR"/>
        </w:rPr>
        <w:t xml:space="preserve"> </w:t>
      </w:r>
      <w:r>
        <w:rPr>
          <w:lang w:eastAsia="ko-KR"/>
        </w:rPr>
        <w:t xml:space="preserve">all covariates in the model to generate a system of two equations – one </w:t>
      </w:r>
      <w:r w:rsidRPr="00D7692C">
        <w:rPr>
          <w:lang w:eastAsia="ko-KR"/>
        </w:rPr>
        <w:t>differenced and one in levels</w:t>
      </w:r>
      <w:r>
        <w:rPr>
          <w:lang w:eastAsia="ko-KR"/>
        </w:rPr>
        <w:t xml:space="preserve"> – for instrumenting the endogenous variable(s) “internally” (Islam et al. </w:t>
      </w:r>
      <w:r w:rsidR="00955101">
        <w:rPr>
          <w:lang w:eastAsia="ko-KR"/>
        </w:rPr>
        <w:t>2017</w:t>
      </w:r>
      <w:r>
        <w:rPr>
          <w:lang w:eastAsia="ko-KR"/>
        </w:rPr>
        <w:t xml:space="preserve">). With a greater number of instruments, the approach can dramatically increase efficiency </w:t>
      </w:r>
      <w:r w:rsidRPr="00F9451B">
        <w:t>(Roodman 2009, 108)</w:t>
      </w:r>
      <w:r>
        <w:rPr>
          <w:lang w:eastAsia="ko-KR"/>
        </w:rPr>
        <w:t>. It also allows for inclusion of a lagged dependent variable which, together with market inequality, is considered endogenous.</w:t>
      </w:r>
      <w:r>
        <w:rPr>
          <w:rStyle w:val="FootnoteReference"/>
          <w:lang w:eastAsia="ko-KR"/>
        </w:rPr>
        <w:footnoteReference w:id="19"/>
      </w:r>
      <w:r>
        <w:rPr>
          <w:lang w:eastAsia="ko-KR"/>
        </w:rPr>
        <w:t xml:space="preserve"> </w:t>
      </w:r>
      <w:r>
        <w:t xml:space="preserve">The method provides unbiased estimates of the effect of covariates on income </w:t>
      </w:r>
      <w:r w:rsidRPr="00C25A5C">
        <w:rPr>
          <w:i/>
        </w:rPr>
        <w:t>redistribution</w:t>
      </w:r>
      <w:r>
        <w:t>, controlling for redist</w:t>
      </w:r>
      <w:r w:rsidR="00377A3B">
        <w:t xml:space="preserve">ribution in the previous year. </w:t>
      </w:r>
      <w:r>
        <w:t xml:space="preserve">To allow for the inclusion of time invariant covariates (Roodman 2009, 115) and also because it is more efficient, we use the system (as </w:t>
      </w:r>
      <w:r>
        <w:lastRenderedPageBreak/>
        <w:t>opposed to the difference) estimator with the Windmeijer correction for two-step estimation of the standard errors.</w:t>
      </w:r>
      <w:r>
        <w:rPr>
          <w:rStyle w:val="FootnoteReference"/>
        </w:rPr>
        <w:footnoteReference w:id="20"/>
      </w:r>
      <w:r>
        <w:t xml:space="preserve"> Since our panel has gaps, we maximize sample size by employing the orthogonal deviation of the errors (Roodman 2009, 128). </w:t>
      </w:r>
    </w:p>
    <w:p w14:paraId="44203EE2" w14:textId="7B3806D9" w:rsidR="002D7707" w:rsidRDefault="002D7707" w:rsidP="00BD2B9F">
      <w:pPr>
        <w:spacing w:line="480" w:lineRule="auto"/>
        <w:ind w:firstLine="720"/>
        <w:jc w:val="both"/>
      </w:pPr>
      <w:r>
        <w:rPr>
          <w:lang w:eastAsia="ko-KR"/>
        </w:rPr>
        <w:t>A crucial difference between our two fixed effects models – 2SLS and feasible efficient GMM – and our system GMM approach is that the first two exclude a lagged dependent variable. As many have warned (</w:t>
      </w:r>
      <w:r w:rsidR="005E6609">
        <w:rPr>
          <w:color w:val="000000"/>
        </w:rPr>
        <w:t xml:space="preserve">for instance, </w:t>
      </w:r>
      <w:r w:rsidR="00A02924">
        <w:t>Plümper</w:t>
      </w:r>
      <w:r w:rsidR="005E6609">
        <w:t xml:space="preserve">, </w:t>
      </w:r>
      <w:r w:rsidR="005E6609">
        <w:rPr>
          <w:color w:val="000000"/>
        </w:rPr>
        <w:t>Troeger, and</w:t>
      </w:r>
      <w:r w:rsidR="005E6609" w:rsidRPr="009C1199">
        <w:rPr>
          <w:color w:val="000000"/>
        </w:rPr>
        <w:t xml:space="preserve"> Manow</w:t>
      </w:r>
      <w:r>
        <w:t xml:space="preserve"> 2005)</w:t>
      </w:r>
      <w:r>
        <w:rPr>
          <w:lang w:eastAsia="ko-KR"/>
        </w:rPr>
        <w:t xml:space="preserve">, a lagged dependent variable can severely bias parameter estimates in the context of fixed effects. </w:t>
      </w:r>
      <w:r>
        <w:rPr>
          <w:color w:val="000000"/>
        </w:rPr>
        <w:t>In system GMM, however, fixed effects are expunged, making it possible to include time invariant variables (Roodman 2009, 115). One problem with this approach, however, is that because it</w:t>
      </w:r>
      <w:r>
        <w:rPr>
          <w:lang w:eastAsia="ko-KR"/>
        </w:rPr>
        <w:t xml:space="preserve"> </w:t>
      </w:r>
      <w:r>
        <w:t>uses the lags of independent variables as instruments for the endogenous variables, the instrument count tends to grow quickly in these analyses. For the results to be meaningful, therefore, instruments should not exceed units in their number. Ideally, they should equal the number of units, yielding a model that is exactly identified.</w:t>
      </w:r>
    </w:p>
    <w:p w14:paraId="24193A0C" w14:textId="6B82543B" w:rsidR="002D7707" w:rsidRDefault="002D7707" w:rsidP="00BD2B9F">
      <w:pPr>
        <w:spacing w:line="480" w:lineRule="auto"/>
        <w:ind w:firstLine="720"/>
        <w:jc w:val="both"/>
        <w:rPr>
          <w:lang w:eastAsia="ko-KR"/>
        </w:rPr>
      </w:pPr>
      <w:r>
        <w:t xml:space="preserve">As a result, it is only possible to treat three variables as endogenous, </w:t>
      </w:r>
      <w:r w:rsidRPr="00C25A5C">
        <w:rPr>
          <w:i/>
        </w:rPr>
        <w:t>lagged redistribution</w:t>
      </w:r>
      <w:r>
        <w:t xml:space="preserve">, </w:t>
      </w:r>
      <w:r w:rsidRPr="00C25A5C">
        <w:rPr>
          <w:i/>
        </w:rPr>
        <w:t>market inequality</w:t>
      </w:r>
      <w:r>
        <w:t xml:space="preserve">, and </w:t>
      </w:r>
      <w:r w:rsidR="00F4248F" w:rsidRPr="00C25A5C">
        <w:rPr>
          <w:i/>
        </w:rPr>
        <w:t>left executive</w:t>
      </w:r>
      <w:r>
        <w:t>.</w:t>
      </w:r>
      <w:r w:rsidR="00697B17">
        <w:rPr>
          <w:rStyle w:val="FootnoteReference"/>
        </w:rPr>
        <w:footnoteReference w:id="21"/>
      </w:r>
      <w:r>
        <w:t xml:space="preserve"> We also strive to maximize the number of countries by pooling them in a single analysis, with the instrument matrix collapsed to minimize the number of instruments. We use lags 2 to </w:t>
      </w:r>
      <w:r w:rsidR="004E64BF">
        <w:t xml:space="preserve">9 </w:t>
      </w:r>
      <w:r>
        <w:t xml:space="preserve">of the regressors as instruments, </w:t>
      </w:r>
      <w:r w:rsidRPr="00D6113F">
        <w:t xml:space="preserve">which yields </w:t>
      </w:r>
      <w:r w:rsidR="004E64BF" w:rsidRPr="00D6113F">
        <w:t>3</w:t>
      </w:r>
      <w:r w:rsidR="00F4248F">
        <w:t>9</w:t>
      </w:r>
      <w:r w:rsidR="004E64BF" w:rsidRPr="00D6113F">
        <w:t xml:space="preserve"> instruments for 40</w:t>
      </w:r>
      <w:r w:rsidRPr="00D6113F">
        <w:t xml:space="preserve"> groups</w:t>
      </w:r>
      <w:r>
        <w:t>.</w:t>
      </w:r>
      <w:r w:rsidRPr="00A953C8">
        <w:rPr>
          <w:lang w:eastAsia="ko-KR"/>
        </w:rPr>
        <w:t xml:space="preserve"> </w:t>
      </w:r>
      <w:r>
        <w:rPr>
          <w:lang w:eastAsia="ko-KR"/>
        </w:rPr>
        <w:t xml:space="preserve">One final caveat is that in system GMM, </w:t>
      </w:r>
      <w:r w:rsidRPr="004947A9">
        <w:rPr>
          <w:lang w:eastAsia="ko-KR"/>
        </w:rPr>
        <w:t xml:space="preserve">the first-differenced instruments used for the </w:t>
      </w:r>
      <w:r w:rsidRPr="004947A9">
        <w:rPr>
          <w:lang w:eastAsia="ko-KR"/>
        </w:rPr>
        <w:lastRenderedPageBreak/>
        <w:t xml:space="preserve">variables in </w:t>
      </w:r>
      <w:r>
        <w:rPr>
          <w:lang w:eastAsia="ko-KR"/>
        </w:rPr>
        <w:t xml:space="preserve">the </w:t>
      </w:r>
      <w:r w:rsidRPr="004947A9">
        <w:rPr>
          <w:lang w:eastAsia="ko-KR"/>
        </w:rPr>
        <w:t xml:space="preserve">levels </w:t>
      </w:r>
      <w:r>
        <w:rPr>
          <w:lang w:eastAsia="ko-KR"/>
        </w:rPr>
        <w:t xml:space="preserve">equation </w:t>
      </w:r>
      <w:r w:rsidRPr="004947A9">
        <w:rPr>
          <w:lang w:eastAsia="ko-KR"/>
        </w:rPr>
        <w:t>should not be correlated with the unobserved country effects</w:t>
      </w:r>
      <w:r>
        <w:rPr>
          <w:lang w:eastAsia="ko-KR"/>
        </w:rPr>
        <w:t xml:space="preserve">. Of our excluded regressors, </w:t>
      </w:r>
      <w:r>
        <w:rPr>
          <w:i/>
          <w:lang w:eastAsia="ko-KR"/>
        </w:rPr>
        <w:t>e</w:t>
      </w:r>
      <w:r w:rsidRPr="005E6E1B">
        <w:rPr>
          <w:i/>
          <w:lang w:eastAsia="ko-KR"/>
        </w:rPr>
        <w:t>thnic fractionalization</w:t>
      </w:r>
      <w:r>
        <w:rPr>
          <w:lang w:eastAsia="ko-KR"/>
        </w:rPr>
        <w:t xml:space="preserve"> is time invariant and, as a result, it experiences no change in its value over time. We thus exclude this variable (along with the remaining excluded regressors) from the levels equation.</w:t>
      </w:r>
    </w:p>
    <w:p w14:paraId="76D49EF2" w14:textId="77777777" w:rsidR="002D7707" w:rsidRDefault="002D7707" w:rsidP="00BD2B9F">
      <w:pPr>
        <w:spacing w:line="480" w:lineRule="auto"/>
        <w:ind w:firstLine="720"/>
        <w:jc w:val="both"/>
      </w:pPr>
      <w:r>
        <w:rPr>
          <w:lang w:eastAsia="ko-KR"/>
        </w:rPr>
        <w:t>While GMM modeling provides unbiased estimates of the determinants of redistributive spending, these models only capture the effects of changes in covariates from the previous year on the dependent variable</w:t>
      </w:r>
      <w:r>
        <w:t xml:space="preserve">. </w:t>
      </w:r>
      <w:r>
        <w:rPr>
          <w:lang w:eastAsia="ko-KR"/>
        </w:rPr>
        <w:t>S</w:t>
      </w:r>
      <w:r>
        <w:t>ome covariates could affect welfare generosity over several time periods</w:t>
      </w:r>
      <w:r>
        <w:rPr>
          <w:lang w:eastAsia="ko-KR"/>
        </w:rPr>
        <w:t>. As a result,</w:t>
      </w:r>
      <w:r>
        <w:t xml:space="preserve"> we supplement the GMM analysis with </w:t>
      </w:r>
      <w:r w:rsidR="001B1FBE">
        <w:t xml:space="preserve">single equation </w:t>
      </w:r>
      <w:r>
        <w:t xml:space="preserve">error correction models (ECMs). The later assume that covariates have both transitory and lasting effects on the dependent variable </w:t>
      </w:r>
      <w:r w:rsidR="00F175C0">
        <w:t>and</w:t>
      </w:r>
      <w:r>
        <w:t xml:space="preserve"> that there is a long run equilibrium between the dependent variable Y and independent variables X. </w:t>
      </w:r>
    </w:p>
    <w:p w14:paraId="55E299C8" w14:textId="44E28549" w:rsidR="002D7707" w:rsidRDefault="002D7707" w:rsidP="00BD2B9F">
      <w:pPr>
        <w:spacing w:line="480" w:lineRule="auto"/>
        <w:ind w:firstLine="720"/>
        <w:jc w:val="both"/>
      </w:pPr>
      <w:r>
        <w:t>ECMs relate the effect of first differences and first lags of independent variables on the first difference of the dependent variable. Differences capture short-term dynamics, whereas lags capture long-term effects.</w:t>
      </w:r>
      <w:r w:rsidR="00D04580" w:rsidRPr="00D04580">
        <w:rPr>
          <w:rStyle w:val="FootnoteReference"/>
        </w:rPr>
        <w:t xml:space="preserve"> </w:t>
      </w:r>
      <w:r w:rsidR="00D04580">
        <w:rPr>
          <w:rStyle w:val="FootnoteReference"/>
        </w:rPr>
        <w:footnoteReference w:id="22"/>
      </w:r>
      <w:r>
        <w:t xml:space="preserve"> We estimate these models using OLS with panel corrected st</w:t>
      </w:r>
      <w:r w:rsidR="00C25A5C">
        <w:t>andard errors</w:t>
      </w:r>
      <w:r>
        <w:t xml:space="preserve"> and the pairwise method for estimating the interpanel covariance matrix of the disturbances. This technique ensures that in unbalanced panels, “elements of the variance-covariance matrix are computed with all available pairs of panels.” (Swank 2015, 29). Although these models require weak exogeneity of regressors, it is possible to address endogeneity by entering exogenous </w:t>
      </w:r>
      <w:r>
        <w:lastRenderedPageBreak/>
        <w:t xml:space="preserve">variables with an additional lag. This time, in addition to </w:t>
      </w:r>
      <w:r w:rsidRPr="00C25A5C">
        <w:rPr>
          <w:i/>
        </w:rPr>
        <w:t>market income inequality</w:t>
      </w:r>
      <w:r w:rsidR="009123C5">
        <w:t xml:space="preserve"> and </w:t>
      </w:r>
      <w:r w:rsidR="009123C5">
        <w:rPr>
          <w:i/>
        </w:rPr>
        <w:t>left executive</w:t>
      </w:r>
      <w:r>
        <w:t>, we also</w:t>
      </w:r>
      <w:r w:rsidR="00A02924">
        <w:t xml:space="preserve"> treat </w:t>
      </w:r>
      <w:r w:rsidR="00A02924" w:rsidRPr="00C25A5C">
        <w:rPr>
          <w:i/>
        </w:rPr>
        <w:t>economic growth</w:t>
      </w:r>
      <w:r w:rsidR="00A02924">
        <w:t xml:space="preserve"> (Benabou</w:t>
      </w:r>
      <w:r>
        <w:t xml:space="preserve"> 2000) as endogenous</w:t>
      </w:r>
      <w:r>
        <w:rPr>
          <w:sz w:val="22"/>
          <w:szCs w:val="22"/>
          <w:lang w:eastAsia="ko-KR"/>
        </w:rPr>
        <w:t>.</w:t>
      </w:r>
      <w:r>
        <w:t xml:space="preserve"> As a result, we use the first differences and first lags for these variables, and the difference of first lags with second lags for the remaining exogenous covariates in the ECMs. This allows exogenous variables to affect the dependent variable with some delay.</w:t>
      </w:r>
      <w:r>
        <w:rPr>
          <w:rStyle w:val="FootnoteReference"/>
        </w:rPr>
        <w:footnoteReference w:id="23"/>
      </w:r>
      <w:r>
        <w:t xml:space="preserve"> </w:t>
      </w:r>
    </w:p>
    <w:p w14:paraId="71326ED6" w14:textId="2B0C5B94" w:rsidR="00F175C0" w:rsidRDefault="002D7707" w:rsidP="00431DCE">
      <w:pPr>
        <w:spacing w:line="480" w:lineRule="auto"/>
        <w:ind w:firstLine="720"/>
        <w:jc w:val="both"/>
        <w:rPr>
          <w:lang w:eastAsia="ko-KR"/>
        </w:rPr>
      </w:pPr>
      <w:r>
        <w:rPr>
          <w:lang w:eastAsia="ko-KR"/>
        </w:rPr>
        <w:t>ECMs allow one to ask whether</w:t>
      </w:r>
      <w:r w:rsidRPr="00A066CE">
        <w:rPr>
          <w:lang w:eastAsia="ko-KR"/>
        </w:rPr>
        <w:t xml:space="preserve"> </w:t>
      </w:r>
      <w:r>
        <w:rPr>
          <w:lang w:eastAsia="ko-KR"/>
        </w:rPr>
        <w:t>different types of welfare states</w:t>
      </w:r>
      <w:r w:rsidRPr="00A066CE">
        <w:rPr>
          <w:lang w:eastAsia="ko-KR"/>
        </w:rPr>
        <w:t xml:space="preserve"> are unique in the way they organize m</w:t>
      </w:r>
      <w:r>
        <w:rPr>
          <w:lang w:eastAsia="ko-KR"/>
        </w:rPr>
        <w:t xml:space="preserve">arket-state relations. </w:t>
      </w:r>
      <w:r w:rsidR="00973C47">
        <w:rPr>
          <w:lang w:eastAsia="ko-KR"/>
        </w:rPr>
        <w:t>Since “a model able to capture long-run effects appears indispensable” (Podestà 2006, 542),</w:t>
      </w:r>
      <w:r w:rsidR="00973C47">
        <w:t xml:space="preserve"> </w:t>
      </w:r>
      <w:r w:rsidR="00CC7952">
        <w:t>scholars have</w:t>
      </w:r>
      <w:r w:rsidR="00973C47" w:rsidRPr="001A3D79">
        <w:t xml:space="preserve"> widely used</w:t>
      </w:r>
      <w:r w:rsidR="00502C25">
        <w:t xml:space="preserve"> error correction processes to model the welfare state</w:t>
      </w:r>
      <w:r w:rsidR="00973C47" w:rsidRPr="001A3D79">
        <w:t xml:space="preserve"> </w:t>
      </w:r>
      <w:r w:rsidR="00973C47">
        <w:t>(</w:t>
      </w:r>
      <w:bookmarkStart w:id="1" w:name="_Hlk484724241"/>
      <w:r w:rsidR="00973C47" w:rsidRPr="001A3D79">
        <w:t>Iversen and Cusack 2000</w:t>
      </w:r>
      <w:r w:rsidR="00973C47">
        <w:t>;</w:t>
      </w:r>
      <w:r w:rsidR="00973C47" w:rsidRPr="001A3D79">
        <w:t xml:space="preserve"> Iversen and Soskice 2006</w:t>
      </w:r>
      <w:r w:rsidR="00973C47">
        <w:t>;</w:t>
      </w:r>
      <w:r w:rsidR="00973C47" w:rsidRPr="001A3D79">
        <w:t xml:space="preserve"> Segura-Ubiergo</w:t>
      </w:r>
      <w:r w:rsidR="00973C47">
        <w:t xml:space="preserve"> </w:t>
      </w:r>
      <w:r w:rsidR="00973C47" w:rsidRPr="001A3D79">
        <w:t>2007</w:t>
      </w:r>
      <w:bookmarkEnd w:id="1"/>
      <w:r w:rsidR="00973C47" w:rsidRPr="001A3D79">
        <w:t>)</w:t>
      </w:r>
      <w:r w:rsidR="001B1FBE">
        <w:t>.</w:t>
      </w:r>
      <w:r w:rsidR="00322EC2">
        <w:rPr>
          <w:lang w:eastAsia="ko-KR"/>
        </w:rPr>
        <w:t xml:space="preserve"> </w:t>
      </w:r>
      <w:r>
        <w:rPr>
          <w:lang w:eastAsia="ko-KR"/>
        </w:rPr>
        <w:t xml:space="preserve">If so, the long run association between inequality and redistribution could be different </w:t>
      </w:r>
      <w:r w:rsidRPr="00A066CE">
        <w:rPr>
          <w:lang w:eastAsia="ko-KR"/>
        </w:rPr>
        <w:t xml:space="preserve">depending on the type of welfare state. </w:t>
      </w:r>
      <w:r>
        <w:rPr>
          <w:lang w:eastAsia="ko-KR"/>
        </w:rPr>
        <w:t>Consequently, we</w:t>
      </w:r>
      <w:r w:rsidRPr="00A066CE">
        <w:rPr>
          <w:lang w:eastAsia="ko-KR"/>
        </w:rPr>
        <w:t xml:space="preserve"> </w:t>
      </w:r>
      <w:r>
        <w:rPr>
          <w:lang w:eastAsia="ko-KR"/>
        </w:rPr>
        <w:t xml:space="preserve">group countries into six clusters based on the </w:t>
      </w:r>
      <w:r w:rsidR="00322EC2">
        <w:rPr>
          <w:lang w:eastAsia="ko-KR"/>
        </w:rPr>
        <w:t>country classification we adopted in footnote 8</w:t>
      </w:r>
      <w:r>
        <w:rPr>
          <w:lang w:eastAsia="ko-KR"/>
        </w:rPr>
        <w:t xml:space="preserve"> and present an ECM for each.</w:t>
      </w:r>
      <w:r w:rsidR="00F175C0">
        <w:rPr>
          <w:rStyle w:val="FootnoteReference"/>
          <w:lang w:eastAsia="ko-KR"/>
        </w:rPr>
        <w:footnoteReference w:id="24"/>
      </w:r>
      <w:r w:rsidR="00973C47">
        <w:rPr>
          <w:lang w:eastAsia="ko-KR"/>
        </w:rPr>
        <w:t xml:space="preserve"> </w:t>
      </w:r>
      <w:r w:rsidR="00D56CBA">
        <w:rPr>
          <w:lang w:eastAsia="ko-KR"/>
        </w:rPr>
        <w:t xml:space="preserve">Because we confirmed the </w:t>
      </w:r>
      <w:r w:rsidR="00D56CBA">
        <w:rPr>
          <w:lang w:eastAsia="ko-KR"/>
        </w:rPr>
        <w:lastRenderedPageBreak/>
        <w:t xml:space="preserve">presence of auto correlation in the residuals, we follow standard practice and add a lagged dependent variable to the </w:t>
      </w:r>
      <w:r w:rsidR="00F175C0">
        <w:rPr>
          <w:lang w:eastAsia="ko-KR"/>
        </w:rPr>
        <w:t>right-hand</w:t>
      </w:r>
      <w:r w:rsidR="00D56CBA">
        <w:rPr>
          <w:lang w:eastAsia="ko-KR"/>
        </w:rPr>
        <w:t xml:space="preserve"> side of the model (Podestà 2006, 542)</w:t>
      </w:r>
      <w:r w:rsidR="00973C47">
        <w:rPr>
          <w:lang w:eastAsia="ko-KR"/>
        </w:rPr>
        <w:t>.</w:t>
      </w:r>
      <w:r w:rsidR="00322EC2">
        <w:rPr>
          <w:lang w:eastAsia="ko-KR"/>
        </w:rPr>
        <w:t xml:space="preserve"> </w:t>
      </w:r>
      <w:r w:rsidR="00F175C0">
        <w:rPr>
          <w:lang w:eastAsia="ko-KR"/>
        </w:rPr>
        <w:t xml:space="preserve">For the results to be valid, </w:t>
      </w:r>
      <w:r w:rsidR="00F175C0">
        <w:t>the coefficient on this variable should be between -1 and 0 and significant. Standard practice also calls for the use of</w:t>
      </w:r>
      <w:r w:rsidR="00F175C0">
        <w:rPr>
          <w:lang w:eastAsia="ko-KR"/>
        </w:rPr>
        <w:t xml:space="preserve"> fixed effects for countries.</w:t>
      </w:r>
      <w:r w:rsidR="00F175C0" w:rsidRPr="00F175C0">
        <w:t xml:space="preserve"> </w:t>
      </w:r>
      <w:r w:rsidR="00F175C0">
        <w:t xml:space="preserve">Finally, because </w:t>
      </w:r>
      <w:r w:rsidR="00F175C0" w:rsidRPr="001B1FBE">
        <w:rPr>
          <w:i/>
        </w:rPr>
        <w:t>durability</w:t>
      </w:r>
      <w:r w:rsidR="00F175C0">
        <w:t xml:space="preserve"> </w:t>
      </w:r>
      <w:r w:rsidR="00F175C0" w:rsidRPr="001A3D79">
        <w:rPr>
          <w:lang w:eastAsia="ko-KR"/>
        </w:rPr>
        <w:t xml:space="preserve">captures the passage of time, it makes no sense </w:t>
      </w:r>
      <w:r w:rsidR="00F175C0" w:rsidRPr="001A3D79">
        <w:t>to use it in ECMs</w:t>
      </w:r>
      <w:r w:rsidR="00F175C0">
        <w:t xml:space="preserve"> and we thus exclude it from this last set of analyses</w:t>
      </w:r>
      <w:r w:rsidR="00F175C0" w:rsidRPr="001A3D79">
        <w:t>.</w:t>
      </w:r>
    </w:p>
    <w:p w14:paraId="36D2F823" w14:textId="77777777" w:rsidR="002D7707" w:rsidRDefault="002D7707" w:rsidP="00F175C0">
      <w:pPr>
        <w:ind w:firstLine="720"/>
        <w:jc w:val="both"/>
        <w:rPr>
          <w:color w:val="000000"/>
        </w:rPr>
      </w:pPr>
    </w:p>
    <w:p w14:paraId="56861BDF" w14:textId="77777777" w:rsidR="002D7707" w:rsidRDefault="002D7707" w:rsidP="00BD2B9F">
      <w:pPr>
        <w:keepNext/>
        <w:spacing w:line="480" w:lineRule="auto"/>
        <w:jc w:val="both"/>
        <w:rPr>
          <w:lang w:eastAsia="ko-KR"/>
        </w:rPr>
      </w:pPr>
      <w:r w:rsidRPr="00A066CE">
        <w:rPr>
          <w:lang w:eastAsia="ko-KR"/>
        </w:rPr>
        <w:t>RESULTS</w:t>
      </w:r>
      <w:r>
        <w:rPr>
          <w:lang w:eastAsia="ko-KR"/>
        </w:rPr>
        <w:t xml:space="preserve"> AND DISCUSSION</w:t>
      </w:r>
    </w:p>
    <w:p w14:paraId="71E82CF3" w14:textId="77777777" w:rsidR="002D7707" w:rsidRDefault="002D7707" w:rsidP="00BD2B9F">
      <w:pPr>
        <w:keepNext/>
        <w:jc w:val="both"/>
        <w:rPr>
          <w:lang w:eastAsia="ko-KR"/>
        </w:rPr>
      </w:pPr>
    </w:p>
    <w:p w14:paraId="7311588A" w14:textId="77777777" w:rsidR="002D7707" w:rsidRDefault="002D7707" w:rsidP="00BD2B9F">
      <w:pPr>
        <w:spacing w:line="480" w:lineRule="auto"/>
        <w:jc w:val="both"/>
      </w:pPr>
      <w:r>
        <w:rPr>
          <w:lang w:eastAsia="ko-KR"/>
        </w:rPr>
        <w:tab/>
        <w:t xml:space="preserve">We begin our substantive discussion with our random intercepts models in Table </w:t>
      </w:r>
      <w:r w:rsidR="00FC2FA6">
        <w:rPr>
          <w:lang w:eastAsia="ko-KR"/>
        </w:rPr>
        <w:t>1</w:t>
      </w:r>
      <w:r>
        <w:rPr>
          <w:lang w:eastAsia="ko-KR"/>
        </w:rPr>
        <w:t xml:space="preserve">. </w:t>
      </w:r>
      <w:r>
        <w:t>As the table indicates, no matter what specification or configuration of independent variables we use, increases in inequality from the country baseline are always significantly and positively associated with increases in absolute redistribution, net of other variables that also experience changes within countries.</w:t>
      </w:r>
      <w:r>
        <w:rPr>
          <w:rStyle w:val="FootnoteReference"/>
        </w:rPr>
        <w:footnoteReference w:id="25"/>
      </w:r>
      <w:r>
        <w:t xml:space="preserve"> In terms of substantive significance, no other time-varying covariate is more significantly associated with changes in redistribution except for </w:t>
      </w:r>
      <w:r w:rsidRPr="008A6BE7">
        <w:rPr>
          <w:i/>
        </w:rPr>
        <w:t>lagged redistribution</w:t>
      </w:r>
      <w:r>
        <w:t xml:space="preserve">, which is simply referencing redistribution in the previous year.   </w:t>
      </w:r>
    </w:p>
    <w:p w14:paraId="7B7EA67B" w14:textId="77777777" w:rsidR="002D7707" w:rsidRDefault="002D7707" w:rsidP="00462639">
      <w:pPr>
        <w:keepNext/>
        <w:rPr>
          <w:lang w:eastAsia="ko-KR"/>
        </w:rPr>
      </w:pPr>
      <w:r>
        <w:tab/>
      </w:r>
    </w:p>
    <w:p w14:paraId="44C5C2BB" w14:textId="77777777" w:rsidR="002D7707" w:rsidRDefault="002D7707" w:rsidP="0071690A">
      <w:pPr>
        <w:spacing w:line="480" w:lineRule="auto"/>
      </w:pPr>
      <w:r>
        <w:t xml:space="preserve">Table </w:t>
      </w:r>
      <w:r w:rsidR="00FC2FA6">
        <w:t>1</w:t>
      </w:r>
      <w:r>
        <w:t>. Random intercept models of the determinants of redistribution, 1991-2014</w:t>
      </w:r>
    </w:p>
    <w:tbl>
      <w:tblPr>
        <w:tblW w:w="0" w:type="auto"/>
        <w:tblBorders>
          <w:top w:val="single" w:sz="4" w:space="0" w:color="auto"/>
          <w:bottom w:val="single" w:sz="4" w:space="0" w:color="auto"/>
        </w:tblBorders>
        <w:tblLayout w:type="fixed"/>
        <w:tblLook w:val="04A0" w:firstRow="1" w:lastRow="0" w:firstColumn="1" w:lastColumn="0" w:noHBand="0" w:noVBand="1"/>
      </w:tblPr>
      <w:tblGrid>
        <w:gridCol w:w="3708"/>
        <w:gridCol w:w="1352"/>
        <w:gridCol w:w="1485"/>
        <w:gridCol w:w="1546"/>
        <w:gridCol w:w="1485"/>
      </w:tblGrid>
      <w:tr w:rsidR="002D7707" w:rsidRPr="00822FFB" w14:paraId="5B48791C" w14:textId="77777777" w:rsidTr="006A425C">
        <w:trPr>
          <w:trHeight w:val="300"/>
        </w:trPr>
        <w:tc>
          <w:tcPr>
            <w:tcW w:w="3708" w:type="dxa"/>
            <w:shd w:val="clear" w:color="auto" w:fill="auto"/>
            <w:noWrap/>
            <w:vAlign w:val="bottom"/>
            <w:hideMark/>
          </w:tcPr>
          <w:p w14:paraId="71CC581F" w14:textId="77777777" w:rsidR="002D7707" w:rsidRPr="004553EE" w:rsidRDefault="002D7707" w:rsidP="00822FFB">
            <w:pPr>
              <w:rPr>
                <w:rFonts w:eastAsia="Times New Roman"/>
                <w:i/>
                <w:color w:val="000000"/>
                <w:lang w:eastAsia="ko-KR"/>
              </w:rPr>
            </w:pPr>
            <w:r w:rsidRPr="004553EE">
              <w:rPr>
                <w:rFonts w:eastAsia="Times New Roman"/>
                <w:i/>
                <w:color w:val="000000"/>
                <w:lang w:eastAsia="ko-KR"/>
              </w:rPr>
              <w:t>Independent variable</w:t>
            </w:r>
            <w:r w:rsidR="0020300F">
              <w:rPr>
                <w:rFonts w:eastAsia="Times New Roman"/>
                <w:i/>
                <w:color w:val="000000"/>
                <w:lang w:eastAsia="ko-KR"/>
              </w:rPr>
              <w:t>s</w:t>
            </w:r>
          </w:p>
        </w:tc>
        <w:tc>
          <w:tcPr>
            <w:tcW w:w="1352" w:type="dxa"/>
            <w:shd w:val="clear" w:color="auto" w:fill="auto"/>
            <w:noWrap/>
            <w:hideMark/>
          </w:tcPr>
          <w:p w14:paraId="475D9572" w14:textId="77777777" w:rsidR="002D7707" w:rsidRPr="0020300F" w:rsidRDefault="002D7707" w:rsidP="006A425C">
            <w:pPr>
              <w:jc w:val="center"/>
              <w:rPr>
                <w:rFonts w:eastAsia="Times New Roman"/>
                <w:color w:val="000000"/>
                <w:lang w:eastAsia="ko-KR"/>
              </w:rPr>
            </w:pPr>
            <w:r w:rsidRPr="0020300F">
              <w:rPr>
                <w:rFonts w:eastAsia="Times New Roman"/>
                <w:color w:val="000000"/>
                <w:lang w:eastAsia="ko-KR"/>
              </w:rPr>
              <w:t>Cluster robust</w:t>
            </w:r>
            <w:r w:rsidR="00793E40" w:rsidRPr="0020300F">
              <w:rPr>
                <w:rFonts w:eastAsia="Times New Roman"/>
                <w:color w:val="000000"/>
                <w:lang w:eastAsia="ko-KR"/>
              </w:rPr>
              <w:t xml:space="preserve"> (full)</w:t>
            </w:r>
          </w:p>
        </w:tc>
        <w:tc>
          <w:tcPr>
            <w:tcW w:w="1485" w:type="dxa"/>
            <w:shd w:val="clear" w:color="auto" w:fill="auto"/>
            <w:noWrap/>
            <w:hideMark/>
          </w:tcPr>
          <w:p w14:paraId="6C3B1DBD" w14:textId="77777777" w:rsidR="002D7707" w:rsidRPr="0020300F" w:rsidRDefault="002D7707" w:rsidP="006A425C">
            <w:pPr>
              <w:jc w:val="center"/>
              <w:rPr>
                <w:rFonts w:eastAsia="Times New Roman"/>
                <w:color w:val="000000"/>
                <w:lang w:eastAsia="ko-KR"/>
              </w:rPr>
            </w:pPr>
            <w:r w:rsidRPr="0020300F">
              <w:rPr>
                <w:rFonts w:eastAsia="Times New Roman"/>
                <w:color w:val="000000"/>
                <w:lang w:eastAsia="ko-KR"/>
              </w:rPr>
              <w:t>Jackknife</w:t>
            </w:r>
            <w:r w:rsidR="00793E40" w:rsidRPr="0020300F">
              <w:rPr>
                <w:rFonts w:eastAsia="Times New Roman"/>
                <w:color w:val="000000"/>
                <w:lang w:eastAsia="ko-KR"/>
              </w:rPr>
              <w:t xml:space="preserve"> (full)</w:t>
            </w:r>
          </w:p>
        </w:tc>
        <w:tc>
          <w:tcPr>
            <w:tcW w:w="1546" w:type="dxa"/>
            <w:shd w:val="clear" w:color="auto" w:fill="auto"/>
            <w:noWrap/>
            <w:hideMark/>
          </w:tcPr>
          <w:p w14:paraId="32F0C802" w14:textId="77777777" w:rsidR="002D7707" w:rsidRPr="0020300F" w:rsidRDefault="002D7707" w:rsidP="006A425C">
            <w:pPr>
              <w:jc w:val="center"/>
              <w:rPr>
                <w:rFonts w:eastAsia="Times New Roman"/>
                <w:color w:val="000000"/>
                <w:lang w:eastAsia="ko-KR"/>
              </w:rPr>
            </w:pPr>
            <w:r w:rsidRPr="0020300F">
              <w:rPr>
                <w:rFonts w:eastAsia="Times New Roman"/>
                <w:color w:val="000000"/>
                <w:lang w:eastAsia="ko-KR"/>
              </w:rPr>
              <w:t>Cluster robust</w:t>
            </w:r>
            <w:r w:rsidR="00793E40" w:rsidRPr="0020300F">
              <w:rPr>
                <w:rFonts w:eastAsia="Times New Roman"/>
                <w:color w:val="000000"/>
                <w:lang w:eastAsia="ko-KR"/>
              </w:rPr>
              <w:t xml:space="preserve"> (reduced)</w:t>
            </w:r>
          </w:p>
        </w:tc>
        <w:tc>
          <w:tcPr>
            <w:tcW w:w="1485" w:type="dxa"/>
            <w:shd w:val="clear" w:color="auto" w:fill="auto"/>
            <w:noWrap/>
            <w:hideMark/>
          </w:tcPr>
          <w:p w14:paraId="5A35C160" w14:textId="77777777" w:rsidR="002D7707" w:rsidRPr="0020300F" w:rsidRDefault="002D7707" w:rsidP="006A425C">
            <w:pPr>
              <w:jc w:val="center"/>
              <w:rPr>
                <w:rFonts w:eastAsia="Times New Roman"/>
                <w:color w:val="000000"/>
                <w:lang w:eastAsia="ko-KR"/>
              </w:rPr>
            </w:pPr>
            <w:r w:rsidRPr="0020300F">
              <w:rPr>
                <w:rFonts w:eastAsia="Times New Roman"/>
                <w:color w:val="000000"/>
                <w:lang w:eastAsia="ko-KR"/>
              </w:rPr>
              <w:t>Jackknife</w:t>
            </w:r>
            <w:r w:rsidR="00793E40" w:rsidRPr="0020300F">
              <w:rPr>
                <w:rFonts w:eastAsia="Times New Roman"/>
                <w:color w:val="000000"/>
                <w:lang w:eastAsia="ko-KR"/>
              </w:rPr>
              <w:t xml:space="preserve"> (reduced)</w:t>
            </w:r>
          </w:p>
        </w:tc>
      </w:tr>
      <w:tr w:rsidR="002D7707" w:rsidRPr="00822FFB" w14:paraId="301865BA" w14:textId="77777777" w:rsidTr="006A425C">
        <w:trPr>
          <w:trHeight w:val="300"/>
        </w:trPr>
        <w:tc>
          <w:tcPr>
            <w:tcW w:w="3708" w:type="dxa"/>
            <w:shd w:val="clear" w:color="auto" w:fill="auto"/>
            <w:noWrap/>
            <w:vAlign w:val="bottom"/>
            <w:hideMark/>
          </w:tcPr>
          <w:p w14:paraId="065AFCF8" w14:textId="77777777" w:rsidR="002D7707" w:rsidRPr="00822FFB" w:rsidRDefault="002D7707" w:rsidP="00822FFB">
            <w:pPr>
              <w:rPr>
                <w:rFonts w:eastAsia="Times New Roman"/>
                <w:color w:val="000000"/>
                <w:lang w:eastAsia="ko-KR"/>
              </w:rPr>
            </w:pPr>
          </w:p>
        </w:tc>
        <w:tc>
          <w:tcPr>
            <w:tcW w:w="1352" w:type="dxa"/>
            <w:shd w:val="clear" w:color="auto" w:fill="auto"/>
            <w:noWrap/>
            <w:hideMark/>
          </w:tcPr>
          <w:p w14:paraId="6BA768BE" w14:textId="77777777" w:rsidR="002D7707" w:rsidRPr="00822FFB" w:rsidRDefault="002D7707" w:rsidP="006A425C">
            <w:pPr>
              <w:jc w:val="center"/>
              <w:rPr>
                <w:rFonts w:eastAsia="Times New Roman"/>
                <w:color w:val="000000"/>
                <w:lang w:eastAsia="ko-KR"/>
              </w:rPr>
            </w:pPr>
          </w:p>
        </w:tc>
        <w:tc>
          <w:tcPr>
            <w:tcW w:w="1485" w:type="dxa"/>
            <w:shd w:val="clear" w:color="auto" w:fill="auto"/>
            <w:noWrap/>
            <w:hideMark/>
          </w:tcPr>
          <w:p w14:paraId="106A3923" w14:textId="77777777" w:rsidR="002D7707" w:rsidRPr="00822FFB" w:rsidRDefault="002D7707" w:rsidP="006A425C">
            <w:pPr>
              <w:jc w:val="center"/>
              <w:rPr>
                <w:rFonts w:eastAsia="Times New Roman"/>
                <w:color w:val="000000"/>
                <w:lang w:eastAsia="ko-KR"/>
              </w:rPr>
            </w:pPr>
          </w:p>
        </w:tc>
        <w:tc>
          <w:tcPr>
            <w:tcW w:w="1546" w:type="dxa"/>
            <w:shd w:val="clear" w:color="auto" w:fill="auto"/>
            <w:noWrap/>
            <w:hideMark/>
          </w:tcPr>
          <w:p w14:paraId="561EADC9" w14:textId="77777777" w:rsidR="002D7707" w:rsidRPr="00822FFB" w:rsidRDefault="002D7707" w:rsidP="006A425C">
            <w:pPr>
              <w:jc w:val="center"/>
              <w:rPr>
                <w:rFonts w:eastAsia="Times New Roman"/>
                <w:color w:val="000000"/>
                <w:lang w:eastAsia="ko-KR"/>
              </w:rPr>
            </w:pPr>
          </w:p>
        </w:tc>
        <w:tc>
          <w:tcPr>
            <w:tcW w:w="1485" w:type="dxa"/>
            <w:shd w:val="clear" w:color="auto" w:fill="auto"/>
            <w:noWrap/>
            <w:hideMark/>
          </w:tcPr>
          <w:p w14:paraId="71FDC917" w14:textId="77777777" w:rsidR="002D7707" w:rsidRPr="00822FFB" w:rsidRDefault="002D7707" w:rsidP="006A425C">
            <w:pPr>
              <w:jc w:val="center"/>
              <w:rPr>
                <w:rFonts w:eastAsia="Times New Roman"/>
                <w:color w:val="000000"/>
                <w:lang w:eastAsia="ko-KR"/>
              </w:rPr>
            </w:pPr>
          </w:p>
        </w:tc>
      </w:tr>
      <w:tr w:rsidR="006A425C" w:rsidRPr="00822FFB" w14:paraId="2BC191BE" w14:textId="77777777" w:rsidTr="006A425C">
        <w:trPr>
          <w:trHeight w:val="300"/>
        </w:trPr>
        <w:tc>
          <w:tcPr>
            <w:tcW w:w="3708" w:type="dxa"/>
            <w:shd w:val="clear" w:color="auto" w:fill="auto"/>
            <w:noWrap/>
            <w:hideMark/>
          </w:tcPr>
          <w:p w14:paraId="3303597A" w14:textId="77777777" w:rsidR="006A425C" w:rsidRPr="004A74C5" w:rsidRDefault="006A425C" w:rsidP="006A425C">
            <w:r w:rsidRPr="004A74C5">
              <w:t>Market inequality (b)</w:t>
            </w:r>
          </w:p>
        </w:tc>
        <w:tc>
          <w:tcPr>
            <w:tcW w:w="1352" w:type="dxa"/>
            <w:shd w:val="clear" w:color="auto" w:fill="auto"/>
            <w:noWrap/>
            <w:hideMark/>
          </w:tcPr>
          <w:p w14:paraId="228C6D0C" w14:textId="77777777" w:rsidR="006A425C" w:rsidRPr="008E1934" w:rsidRDefault="006A425C" w:rsidP="006A425C">
            <w:pPr>
              <w:jc w:val="center"/>
            </w:pPr>
            <w:r w:rsidRPr="008E1934">
              <w:t>1.864***</w:t>
            </w:r>
          </w:p>
        </w:tc>
        <w:tc>
          <w:tcPr>
            <w:tcW w:w="1485" w:type="dxa"/>
            <w:shd w:val="clear" w:color="auto" w:fill="auto"/>
            <w:noWrap/>
            <w:hideMark/>
          </w:tcPr>
          <w:p w14:paraId="00402308" w14:textId="77777777" w:rsidR="006A425C" w:rsidRPr="008E1934" w:rsidRDefault="006A425C" w:rsidP="006A425C">
            <w:pPr>
              <w:jc w:val="center"/>
            </w:pPr>
            <w:r w:rsidRPr="008E1934">
              <w:t>1.864**</w:t>
            </w:r>
          </w:p>
        </w:tc>
        <w:tc>
          <w:tcPr>
            <w:tcW w:w="1546" w:type="dxa"/>
            <w:shd w:val="clear" w:color="auto" w:fill="auto"/>
            <w:noWrap/>
            <w:hideMark/>
          </w:tcPr>
          <w:p w14:paraId="378C89D4" w14:textId="77777777" w:rsidR="006A425C" w:rsidRPr="008E1934" w:rsidRDefault="006A425C" w:rsidP="006A425C">
            <w:pPr>
              <w:jc w:val="center"/>
            </w:pPr>
            <w:r w:rsidRPr="008E1934">
              <w:t>2.921***</w:t>
            </w:r>
          </w:p>
        </w:tc>
        <w:tc>
          <w:tcPr>
            <w:tcW w:w="1485" w:type="dxa"/>
            <w:shd w:val="clear" w:color="auto" w:fill="auto"/>
            <w:noWrap/>
            <w:hideMark/>
          </w:tcPr>
          <w:p w14:paraId="25904C08" w14:textId="77777777" w:rsidR="006A425C" w:rsidRPr="008E1934" w:rsidRDefault="006A425C" w:rsidP="006A425C">
            <w:pPr>
              <w:jc w:val="center"/>
            </w:pPr>
            <w:r w:rsidRPr="008E1934">
              <w:t>2.921**</w:t>
            </w:r>
          </w:p>
        </w:tc>
      </w:tr>
      <w:tr w:rsidR="006A425C" w:rsidRPr="00822FFB" w14:paraId="1030437C" w14:textId="77777777" w:rsidTr="006A425C">
        <w:trPr>
          <w:trHeight w:val="300"/>
        </w:trPr>
        <w:tc>
          <w:tcPr>
            <w:tcW w:w="3708" w:type="dxa"/>
            <w:shd w:val="clear" w:color="auto" w:fill="auto"/>
            <w:noWrap/>
            <w:hideMark/>
          </w:tcPr>
          <w:p w14:paraId="3C0100C3" w14:textId="77777777" w:rsidR="006A425C" w:rsidRPr="004A74C5" w:rsidRDefault="006A425C" w:rsidP="006A425C">
            <w:r w:rsidRPr="004A74C5">
              <w:t>Left executive (b)</w:t>
            </w:r>
          </w:p>
        </w:tc>
        <w:tc>
          <w:tcPr>
            <w:tcW w:w="1352" w:type="dxa"/>
            <w:shd w:val="clear" w:color="auto" w:fill="auto"/>
            <w:noWrap/>
            <w:hideMark/>
          </w:tcPr>
          <w:p w14:paraId="0D871169" w14:textId="77777777" w:rsidR="006A425C" w:rsidRPr="008E1934" w:rsidRDefault="006A425C" w:rsidP="006A425C">
            <w:pPr>
              <w:jc w:val="center"/>
            </w:pPr>
            <w:r w:rsidRPr="008E1934">
              <w:t>0.315</w:t>
            </w:r>
          </w:p>
        </w:tc>
        <w:tc>
          <w:tcPr>
            <w:tcW w:w="1485" w:type="dxa"/>
            <w:shd w:val="clear" w:color="auto" w:fill="auto"/>
            <w:noWrap/>
            <w:hideMark/>
          </w:tcPr>
          <w:p w14:paraId="11B39116" w14:textId="77777777" w:rsidR="006A425C" w:rsidRPr="008E1934" w:rsidRDefault="006A425C" w:rsidP="006A425C">
            <w:pPr>
              <w:jc w:val="center"/>
            </w:pPr>
            <w:r w:rsidRPr="008E1934">
              <w:t>0.315</w:t>
            </w:r>
          </w:p>
        </w:tc>
        <w:tc>
          <w:tcPr>
            <w:tcW w:w="1546" w:type="dxa"/>
            <w:shd w:val="clear" w:color="auto" w:fill="auto"/>
            <w:noWrap/>
            <w:hideMark/>
          </w:tcPr>
          <w:p w14:paraId="30D1A55A" w14:textId="77777777" w:rsidR="006A425C" w:rsidRPr="008E1934" w:rsidRDefault="006A425C" w:rsidP="006A425C">
            <w:pPr>
              <w:jc w:val="center"/>
            </w:pPr>
            <w:r w:rsidRPr="008E1934">
              <w:t>0.302</w:t>
            </w:r>
          </w:p>
        </w:tc>
        <w:tc>
          <w:tcPr>
            <w:tcW w:w="1485" w:type="dxa"/>
            <w:shd w:val="clear" w:color="auto" w:fill="auto"/>
            <w:noWrap/>
            <w:hideMark/>
          </w:tcPr>
          <w:p w14:paraId="75C1358C" w14:textId="77777777" w:rsidR="006A425C" w:rsidRPr="008E1934" w:rsidRDefault="006A425C" w:rsidP="006A425C">
            <w:pPr>
              <w:jc w:val="center"/>
            </w:pPr>
            <w:r w:rsidRPr="008E1934">
              <w:t>0.302</w:t>
            </w:r>
          </w:p>
        </w:tc>
      </w:tr>
      <w:tr w:rsidR="006A425C" w:rsidRPr="00822FFB" w14:paraId="7DBF24CD" w14:textId="77777777" w:rsidTr="006A425C">
        <w:trPr>
          <w:trHeight w:val="300"/>
        </w:trPr>
        <w:tc>
          <w:tcPr>
            <w:tcW w:w="3708" w:type="dxa"/>
            <w:shd w:val="clear" w:color="auto" w:fill="auto"/>
            <w:noWrap/>
            <w:hideMark/>
          </w:tcPr>
          <w:p w14:paraId="269996D5" w14:textId="77777777" w:rsidR="006A425C" w:rsidRPr="004A74C5" w:rsidRDefault="006A425C" w:rsidP="006A425C">
            <w:r w:rsidRPr="004A74C5">
              <w:t>Political constraints (b)</w:t>
            </w:r>
          </w:p>
        </w:tc>
        <w:tc>
          <w:tcPr>
            <w:tcW w:w="1352" w:type="dxa"/>
            <w:shd w:val="clear" w:color="auto" w:fill="auto"/>
            <w:noWrap/>
            <w:hideMark/>
          </w:tcPr>
          <w:p w14:paraId="6D3C385A" w14:textId="77777777" w:rsidR="006A425C" w:rsidRPr="008E1934" w:rsidRDefault="006A425C" w:rsidP="006A425C">
            <w:pPr>
              <w:jc w:val="center"/>
            </w:pPr>
            <w:r w:rsidRPr="008E1934">
              <w:t>1.871***</w:t>
            </w:r>
          </w:p>
        </w:tc>
        <w:tc>
          <w:tcPr>
            <w:tcW w:w="1485" w:type="dxa"/>
            <w:shd w:val="clear" w:color="auto" w:fill="auto"/>
            <w:noWrap/>
            <w:hideMark/>
          </w:tcPr>
          <w:p w14:paraId="3A4ABFC5" w14:textId="77777777" w:rsidR="006A425C" w:rsidRPr="008E1934" w:rsidRDefault="006A425C" w:rsidP="006A425C">
            <w:pPr>
              <w:jc w:val="center"/>
            </w:pPr>
            <w:r w:rsidRPr="008E1934">
              <w:t>1.871***</w:t>
            </w:r>
          </w:p>
        </w:tc>
        <w:tc>
          <w:tcPr>
            <w:tcW w:w="1546" w:type="dxa"/>
            <w:shd w:val="clear" w:color="auto" w:fill="auto"/>
            <w:noWrap/>
            <w:hideMark/>
          </w:tcPr>
          <w:p w14:paraId="60ABB1C5" w14:textId="77777777" w:rsidR="006A425C" w:rsidRPr="008E1934" w:rsidRDefault="006A425C" w:rsidP="006A425C">
            <w:pPr>
              <w:jc w:val="center"/>
            </w:pPr>
            <w:r w:rsidRPr="008E1934">
              <w:t>2.436***</w:t>
            </w:r>
          </w:p>
        </w:tc>
        <w:tc>
          <w:tcPr>
            <w:tcW w:w="1485" w:type="dxa"/>
            <w:shd w:val="clear" w:color="auto" w:fill="auto"/>
            <w:noWrap/>
            <w:hideMark/>
          </w:tcPr>
          <w:p w14:paraId="35CFBE2A" w14:textId="77777777" w:rsidR="006A425C" w:rsidRPr="008E1934" w:rsidRDefault="006A425C" w:rsidP="006A425C">
            <w:pPr>
              <w:jc w:val="center"/>
            </w:pPr>
            <w:r w:rsidRPr="008E1934">
              <w:t>2.436***</w:t>
            </w:r>
          </w:p>
        </w:tc>
      </w:tr>
      <w:tr w:rsidR="006A425C" w:rsidRPr="00822FFB" w14:paraId="40F22F73" w14:textId="77777777" w:rsidTr="006A425C">
        <w:trPr>
          <w:trHeight w:val="300"/>
        </w:trPr>
        <w:tc>
          <w:tcPr>
            <w:tcW w:w="3708" w:type="dxa"/>
            <w:shd w:val="clear" w:color="auto" w:fill="auto"/>
            <w:noWrap/>
            <w:hideMark/>
          </w:tcPr>
          <w:p w14:paraId="28F3BA9E" w14:textId="77777777" w:rsidR="006A425C" w:rsidRPr="004A74C5" w:rsidRDefault="006A425C" w:rsidP="006A425C">
            <w:r w:rsidRPr="004A74C5">
              <w:t>Turnout (b)</w:t>
            </w:r>
          </w:p>
        </w:tc>
        <w:tc>
          <w:tcPr>
            <w:tcW w:w="1352" w:type="dxa"/>
            <w:shd w:val="clear" w:color="auto" w:fill="auto"/>
            <w:noWrap/>
            <w:hideMark/>
          </w:tcPr>
          <w:p w14:paraId="294B19D7" w14:textId="77777777" w:rsidR="006A425C" w:rsidRPr="008E1934" w:rsidRDefault="006A425C" w:rsidP="006A425C">
            <w:pPr>
              <w:jc w:val="center"/>
            </w:pPr>
            <w:r w:rsidRPr="008E1934">
              <w:t>-0.154</w:t>
            </w:r>
          </w:p>
        </w:tc>
        <w:tc>
          <w:tcPr>
            <w:tcW w:w="1485" w:type="dxa"/>
            <w:shd w:val="clear" w:color="auto" w:fill="auto"/>
            <w:noWrap/>
            <w:hideMark/>
          </w:tcPr>
          <w:p w14:paraId="412B09CC" w14:textId="77777777" w:rsidR="006A425C" w:rsidRPr="008E1934" w:rsidRDefault="006A425C" w:rsidP="006A425C">
            <w:pPr>
              <w:jc w:val="center"/>
            </w:pPr>
            <w:r w:rsidRPr="008E1934">
              <w:t>-0.154</w:t>
            </w:r>
          </w:p>
        </w:tc>
        <w:tc>
          <w:tcPr>
            <w:tcW w:w="1546" w:type="dxa"/>
            <w:shd w:val="clear" w:color="auto" w:fill="auto"/>
            <w:noWrap/>
            <w:hideMark/>
          </w:tcPr>
          <w:p w14:paraId="2B23B5E5" w14:textId="77777777" w:rsidR="006A425C" w:rsidRPr="008E1934" w:rsidRDefault="006A425C" w:rsidP="006A425C">
            <w:pPr>
              <w:jc w:val="center"/>
            </w:pPr>
            <w:r w:rsidRPr="008E1934">
              <w:t>-0.771</w:t>
            </w:r>
          </w:p>
        </w:tc>
        <w:tc>
          <w:tcPr>
            <w:tcW w:w="1485" w:type="dxa"/>
            <w:shd w:val="clear" w:color="auto" w:fill="auto"/>
            <w:noWrap/>
            <w:hideMark/>
          </w:tcPr>
          <w:p w14:paraId="1405E36B" w14:textId="77777777" w:rsidR="006A425C" w:rsidRPr="008E1934" w:rsidRDefault="006A425C" w:rsidP="006A425C">
            <w:pPr>
              <w:jc w:val="center"/>
            </w:pPr>
            <w:r w:rsidRPr="008E1934">
              <w:t>-0.771</w:t>
            </w:r>
          </w:p>
        </w:tc>
      </w:tr>
      <w:tr w:rsidR="006A425C" w:rsidRPr="00822FFB" w14:paraId="663853E7" w14:textId="77777777" w:rsidTr="006A425C">
        <w:trPr>
          <w:trHeight w:val="300"/>
        </w:trPr>
        <w:tc>
          <w:tcPr>
            <w:tcW w:w="3708" w:type="dxa"/>
            <w:shd w:val="clear" w:color="auto" w:fill="auto"/>
            <w:noWrap/>
            <w:hideMark/>
          </w:tcPr>
          <w:p w14:paraId="261335BB" w14:textId="77777777" w:rsidR="006A425C" w:rsidRPr="004A74C5" w:rsidRDefault="006A425C" w:rsidP="006A425C">
            <w:r w:rsidRPr="004A74C5">
              <w:t>GDP/pcp (b)</w:t>
            </w:r>
          </w:p>
        </w:tc>
        <w:tc>
          <w:tcPr>
            <w:tcW w:w="1352" w:type="dxa"/>
            <w:shd w:val="clear" w:color="auto" w:fill="auto"/>
            <w:noWrap/>
            <w:hideMark/>
          </w:tcPr>
          <w:p w14:paraId="4A011070" w14:textId="77777777" w:rsidR="006A425C" w:rsidRPr="008E1934" w:rsidRDefault="006A425C" w:rsidP="006A425C">
            <w:pPr>
              <w:jc w:val="center"/>
            </w:pPr>
            <w:r w:rsidRPr="008E1934">
              <w:t>1.969***</w:t>
            </w:r>
          </w:p>
        </w:tc>
        <w:tc>
          <w:tcPr>
            <w:tcW w:w="1485" w:type="dxa"/>
            <w:shd w:val="clear" w:color="auto" w:fill="auto"/>
            <w:noWrap/>
            <w:hideMark/>
          </w:tcPr>
          <w:p w14:paraId="25E079CC" w14:textId="77777777" w:rsidR="006A425C" w:rsidRPr="008E1934" w:rsidRDefault="006A425C" w:rsidP="006A425C">
            <w:pPr>
              <w:jc w:val="center"/>
            </w:pPr>
            <w:r w:rsidRPr="008E1934">
              <w:t>1.969**</w:t>
            </w:r>
          </w:p>
        </w:tc>
        <w:tc>
          <w:tcPr>
            <w:tcW w:w="1546" w:type="dxa"/>
            <w:shd w:val="clear" w:color="auto" w:fill="auto"/>
            <w:noWrap/>
            <w:hideMark/>
          </w:tcPr>
          <w:p w14:paraId="2FAD4A2C" w14:textId="77777777" w:rsidR="006A425C" w:rsidRPr="008E1934" w:rsidRDefault="006A425C" w:rsidP="006A425C">
            <w:pPr>
              <w:jc w:val="center"/>
            </w:pPr>
            <w:r w:rsidRPr="008E1934">
              <w:t>2.008***</w:t>
            </w:r>
          </w:p>
        </w:tc>
        <w:tc>
          <w:tcPr>
            <w:tcW w:w="1485" w:type="dxa"/>
            <w:shd w:val="clear" w:color="auto" w:fill="auto"/>
            <w:noWrap/>
            <w:hideMark/>
          </w:tcPr>
          <w:p w14:paraId="26034344" w14:textId="77777777" w:rsidR="006A425C" w:rsidRPr="008E1934" w:rsidRDefault="006A425C" w:rsidP="006A425C">
            <w:pPr>
              <w:jc w:val="center"/>
            </w:pPr>
            <w:r w:rsidRPr="008E1934">
              <w:t>2.008</w:t>
            </w:r>
          </w:p>
        </w:tc>
      </w:tr>
      <w:tr w:rsidR="006A425C" w:rsidRPr="00822FFB" w14:paraId="670EC294" w14:textId="77777777" w:rsidTr="006A425C">
        <w:trPr>
          <w:trHeight w:val="300"/>
        </w:trPr>
        <w:tc>
          <w:tcPr>
            <w:tcW w:w="3708" w:type="dxa"/>
            <w:shd w:val="clear" w:color="auto" w:fill="auto"/>
            <w:noWrap/>
            <w:hideMark/>
          </w:tcPr>
          <w:p w14:paraId="19F7BAB5" w14:textId="77777777" w:rsidR="006A425C" w:rsidRPr="004A74C5" w:rsidRDefault="006A425C" w:rsidP="006A425C">
            <w:r w:rsidRPr="004A74C5">
              <w:t>Unemployment (b)</w:t>
            </w:r>
          </w:p>
        </w:tc>
        <w:tc>
          <w:tcPr>
            <w:tcW w:w="1352" w:type="dxa"/>
            <w:shd w:val="clear" w:color="auto" w:fill="auto"/>
            <w:noWrap/>
            <w:hideMark/>
          </w:tcPr>
          <w:p w14:paraId="4FC279E9" w14:textId="77777777" w:rsidR="006A425C" w:rsidRPr="008E1934" w:rsidRDefault="006A425C" w:rsidP="006A425C">
            <w:pPr>
              <w:jc w:val="center"/>
            </w:pPr>
            <w:r w:rsidRPr="008E1934">
              <w:t>0.435</w:t>
            </w:r>
          </w:p>
        </w:tc>
        <w:tc>
          <w:tcPr>
            <w:tcW w:w="1485" w:type="dxa"/>
            <w:shd w:val="clear" w:color="auto" w:fill="auto"/>
            <w:noWrap/>
            <w:hideMark/>
          </w:tcPr>
          <w:p w14:paraId="72CBB669" w14:textId="77777777" w:rsidR="006A425C" w:rsidRPr="008E1934" w:rsidRDefault="006A425C" w:rsidP="006A425C">
            <w:pPr>
              <w:jc w:val="center"/>
            </w:pPr>
            <w:r w:rsidRPr="008E1934">
              <w:t>0.435</w:t>
            </w:r>
          </w:p>
        </w:tc>
        <w:tc>
          <w:tcPr>
            <w:tcW w:w="1546" w:type="dxa"/>
            <w:shd w:val="clear" w:color="auto" w:fill="auto"/>
            <w:noWrap/>
            <w:hideMark/>
          </w:tcPr>
          <w:p w14:paraId="0C21C106" w14:textId="77777777" w:rsidR="006A425C" w:rsidRPr="008E1934" w:rsidRDefault="006A425C" w:rsidP="006A425C">
            <w:pPr>
              <w:jc w:val="center"/>
            </w:pPr>
            <w:r w:rsidRPr="008E1934">
              <w:t>-0.135</w:t>
            </w:r>
          </w:p>
        </w:tc>
        <w:tc>
          <w:tcPr>
            <w:tcW w:w="1485" w:type="dxa"/>
            <w:shd w:val="clear" w:color="auto" w:fill="auto"/>
            <w:noWrap/>
            <w:hideMark/>
          </w:tcPr>
          <w:p w14:paraId="05F6C5CB" w14:textId="77777777" w:rsidR="006A425C" w:rsidRPr="008E1934" w:rsidRDefault="006A425C" w:rsidP="006A425C">
            <w:pPr>
              <w:jc w:val="center"/>
            </w:pPr>
            <w:r w:rsidRPr="008E1934">
              <w:t>-0.135</w:t>
            </w:r>
          </w:p>
        </w:tc>
      </w:tr>
      <w:tr w:rsidR="006A425C" w:rsidRPr="00822FFB" w14:paraId="6FE973BA" w14:textId="77777777" w:rsidTr="006A425C">
        <w:trPr>
          <w:trHeight w:val="300"/>
        </w:trPr>
        <w:tc>
          <w:tcPr>
            <w:tcW w:w="3708" w:type="dxa"/>
            <w:shd w:val="clear" w:color="auto" w:fill="auto"/>
            <w:noWrap/>
            <w:hideMark/>
          </w:tcPr>
          <w:p w14:paraId="3C4B8CB2" w14:textId="25EE1DB2" w:rsidR="006A425C" w:rsidRPr="004A74C5" w:rsidRDefault="00B24987" w:rsidP="006A425C">
            <w:r>
              <w:lastRenderedPageBreak/>
              <w:t>Exports</w:t>
            </w:r>
            <w:r w:rsidR="006A425C" w:rsidRPr="004A74C5">
              <w:t xml:space="preserve"> (b)</w:t>
            </w:r>
          </w:p>
        </w:tc>
        <w:tc>
          <w:tcPr>
            <w:tcW w:w="1352" w:type="dxa"/>
            <w:shd w:val="clear" w:color="auto" w:fill="auto"/>
            <w:noWrap/>
            <w:hideMark/>
          </w:tcPr>
          <w:p w14:paraId="396155D7" w14:textId="77777777" w:rsidR="006A425C" w:rsidRPr="008E1934" w:rsidRDefault="006A425C" w:rsidP="006A425C">
            <w:pPr>
              <w:jc w:val="center"/>
            </w:pPr>
            <w:r w:rsidRPr="008E1934">
              <w:t>-0.171</w:t>
            </w:r>
          </w:p>
        </w:tc>
        <w:tc>
          <w:tcPr>
            <w:tcW w:w="1485" w:type="dxa"/>
            <w:shd w:val="clear" w:color="auto" w:fill="auto"/>
            <w:noWrap/>
            <w:hideMark/>
          </w:tcPr>
          <w:p w14:paraId="6626F664" w14:textId="77777777" w:rsidR="006A425C" w:rsidRPr="008E1934" w:rsidRDefault="006A425C" w:rsidP="006A425C">
            <w:pPr>
              <w:jc w:val="center"/>
            </w:pPr>
            <w:r w:rsidRPr="008E1934">
              <w:t>-0.171</w:t>
            </w:r>
          </w:p>
        </w:tc>
        <w:tc>
          <w:tcPr>
            <w:tcW w:w="1546" w:type="dxa"/>
            <w:shd w:val="clear" w:color="auto" w:fill="auto"/>
            <w:noWrap/>
            <w:hideMark/>
          </w:tcPr>
          <w:p w14:paraId="7FC739A2" w14:textId="77777777" w:rsidR="006A425C" w:rsidRPr="008E1934" w:rsidRDefault="006A425C" w:rsidP="006A425C">
            <w:pPr>
              <w:jc w:val="center"/>
            </w:pPr>
            <w:r w:rsidRPr="008E1934">
              <w:t>-1.331</w:t>
            </w:r>
          </w:p>
        </w:tc>
        <w:tc>
          <w:tcPr>
            <w:tcW w:w="1485" w:type="dxa"/>
            <w:shd w:val="clear" w:color="auto" w:fill="auto"/>
            <w:noWrap/>
            <w:hideMark/>
          </w:tcPr>
          <w:p w14:paraId="18FAFDDB" w14:textId="77777777" w:rsidR="006A425C" w:rsidRPr="008E1934" w:rsidRDefault="006A425C" w:rsidP="006A425C">
            <w:pPr>
              <w:jc w:val="center"/>
            </w:pPr>
            <w:r w:rsidRPr="008E1934">
              <w:t>-1.331</w:t>
            </w:r>
          </w:p>
        </w:tc>
      </w:tr>
      <w:tr w:rsidR="006A425C" w:rsidRPr="00822FFB" w14:paraId="3120B179" w14:textId="77777777" w:rsidTr="006A425C">
        <w:trPr>
          <w:trHeight w:val="300"/>
        </w:trPr>
        <w:tc>
          <w:tcPr>
            <w:tcW w:w="3708" w:type="dxa"/>
            <w:shd w:val="clear" w:color="auto" w:fill="auto"/>
            <w:noWrap/>
            <w:hideMark/>
          </w:tcPr>
          <w:p w14:paraId="6A09971C" w14:textId="10721AA3" w:rsidR="006A425C" w:rsidRPr="004A74C5" w:rsidRDefault="00B24987" w:rsidP="006A425C">
            <w:r>
              <w:t>Imports</w:t>
            </w:r>
            <w:r w:rsidR="006A425C" w:rsidRPr="004A74C5">
              <w:t xml:space="preserve"> (b)</w:t>
            </w:r>
          </w:p>
        </w:tc>
        <w:tc>
          <w:tcPr>
            <w:tcW w:w="1352" w:type="dxa"/>
            <w:shd w:val="clear" w:color="auto" w:fill="auto"/>
            <w:noWrap/>
            <w:hideMark/>
          </w:tcPr>
          <w:p w14:paraId="0CF706C9" w14:textId="77777777" w:rsidR="006A425C" w:rsidRPr="008E1934" w:rsidRDefault="006A425C" w:rsidP="006A425C">
            <w:pPr>
              <w:jc w:val="center"/>
            </w:pPr>
            <w:r w:rsidRPr="008E1934">
              <w:t>0.036</w:t>
            </w:r>
          </w:p>
        </w:tc>
        <w:tc>
          <w:tcPr>
            <w:tcW w:w="1485" w:type="dxa"/>
            <w:shd w:val="clear" w:color="auto" w:fill="auto"/>
            <w:noWrap/>
            <w:hideMark/>
          </w:tcPr>
          <w:p w14:paraId="7BCBF8ED" w14:textId="77777777" w:rsidR="006A425C" w:rsidRPr="008E1934" w:rsidRDefault="006A425C" w:rsidP="006A425C">
            <w:pPr>
              <w:jc w:val="center"/>
            </w:pPr>
            <w:r w:rsidRPr="008E1934">
              <w:t>0.036</w:t>
            </w:r>
          </w:p>
        </w:tc>
        <w:tc>
          <w:tcPr>
            <w:tcW w:w="1546" w:type="dxa"/>
            <w:shd w:val="clear" w:color="auto" w:fill="auto"/>
            <w:noWrap/>
            <w:hideMark/>
          </w:tcPr>
          <w:p w14:paraId="5B1986DF" w14:textId="77777777" w:rsidR="006A425C" w:rsidRPr="008E1934" w:rsidRDefault="006A425C" w:rsidP="006A425C">
            <w:pPr>
              <w:jc w:val="center"/>
            </w:pPr>
            <w:r w:rsidRPr="008E1934">
              <w:t>1.289</w:t>
            </w:r>
          </w:p>
        </w:tc>
        <w:tc>
          <w:tcPr>
            <w:tcW w:w="1485" w:type="dxa"/>
            <w:shd w:val="clear" w:color="auto" w:fill="auto"/>
            <w:noWrap/>
            <w:hideMark/>
          </w:tcPr>
          <w:p w14:paraId="7D57ECB4" w14:textId="77777777" w:rsidR="006A425C" w:rsidRPr="008E1934" w:rsidRDefault="006A425C" w:rsidP="006A425C">
            <w:pPr>
              <w:jc w:val="center"/>
            </w:pPr>
            <w:r w:rsidRPr="008E1934">
              <w:t>1.289</w:t>
            </w:r>
          </w:p>
        </w:tc>
      </w:tr>
      <w:tr w:rsidR="006A425C" w:rsidRPr="00822FFB" w14:paraId="1212FB99" w14:textId="77777777" w:rsidTr="006A425C">
        <w:trPr>
          <w:trHeight w:val="300"/>
        </w:trPr>
        <w:tc>
          <w:tcPr>
            <w:tcW w:w="3708" w:type="dxa"/>
            <w:shd w:val="clear" w:color="auto" w:fill="auto"/>
            <w:noWrap/>
            <w:hideMark/>
          </w:tcPr>
          <w:p w14:paraId="4E454101" w14:textId="77777777" w:rsidR="006A425C" w:rsidRPr="004A74C5" w:rsidRDefault="006A425C" w:rsidP="006A425C">
            <w:r w:rsidRPr="004A74C5">
              <w:t>Female labor force participation (b)</w:t>
            </w:r>
          </w:p>
        </w:tc>
        <w:tc>
          <w:tcPr>
            <w:tcW w:w="1352" w:type="dxa"/>
            <w:shd w:val="clear" w:color="auto" w:fill="auto"/>
            <w:noWrap/>
            <w:hideMark/>
          </w:tcPr>
          <w:p w14:paraId="51DB993B" w14:textId="77777777" w:rsidR="006A425C" w:rsidRPr="008E1934" w:rsidRDefault="006A425C" w:rsidP="006A425C">
            <w:pPr>
              <w:jc w:val="center"/>
            </w:pPr>
            <w:r w:rsidRPr="008E1934">
              <w:t>2.533***</w:t>
            </w:r>
          </w:p>
        </w:tc>
        <w:tc>
          <w:tcPr>
            <w:tcW w:w="1485" w:type="dxa"/>
            <w:shd w:val="clear" w:color="auto" w:fill="auto"/>
            <w:noWrap/>
            <w:hideMark/>
          </w:tcPr>
          <w:p w14:paraId="70924C6A" w14:textId="77777777" w:rsidR="006A425C" w:rsidRPr="008E1934" w:rsidRDefault="006A425C" w:rsidP="006A425C">
            <w:pPr>
              <w:jc w:val="center"/>
            </w:pPr>
            <w:r w:rsidRPr="008E1934">
              <w:t>2.533***</w:t>
            </w:r>
          </w:p>
        </w:tc>
        <w:tc>
          <w:tcPr>
            <w:tcW w:w="1546" w:type="dxa"/>
            <w:shd w:val="clear" w:color="auto" w:fill="auto"/>
            <w:noWrap/>
            <w:hideMark/>
          </w:tcPr>
          <w:p w14:paraId="378A727F" w14:textId="77777777" w:rsidR="006A425C" w:rsidRPr="008E1934" w:rsidRDefault="006A425C" w:rsidP="006A425C">
            <w:pPr>
              <w:jc w:val="center"/>
            </w:pPr>
            <w:r w:rsidRPr="008E1934">
              <w:t>2.595***</w:t>
            </w:r>
          </w:p>
        </w:tc>
        <w:tc>
          <w:tcPr>
            <w:tcW w:w="1485" w:type="dxa"/>
            <w:shd w:val="clear" w:color="auto" w:fill="auto"/>
            <w:noWrap/>
            <w:hideMark/>
          </w:tcPr>
          <w:p w14:paraId="555752DE" w14:textId="77777777" w:rsidR="006A425C" w:rsidRPr="008E1934" w:rsidRDefault="006A425C" w:rsidP="006A425C">
            <w:pPr>
              <w:jc w:val="center"/>
            </w:pPr>
            <w:r w:rsidRPr="008E1934">
              <w:t>2.595**</w:t>
            </w:r>
          </w:p>
        </w:tc>
      </w:tr>
      <w:tr w:rsidR="006A425C" w:rsidRPr="00822FFB" w14:paraId="4B2DB3D7" w14:textId="77777777" w:rsidTr="006A425C">
        <w:trPr>
          <w:trHeight w:val="300"/>
        </w:trPr>
        <w:tc>
          <w:tcPr>
            <w:tcW w:w="3708" w:type="dxa"/>
            <w:shd w:val="clear" w:color="auto" w:fill="auto"/>
            <w:noWrap/>
            <w:hideMark/>
          </w:tcPr>
          <w:p w14:paraId="7D4AD41A" w14:textId="77777777" w:rsidR="006A425C" w:rsidRPr="004A74C5" w:rsidRDefault="006A425C" w:rsidP="006A425C">
            <w:r w:rsidRPr="004A74C5">
              <w:t>Age dependency ratio (b)</w:t>
            </w:r>
          </w:p>
        </w:tc>
        <w:tc>
          <w:tcPr>
            <w:tcW w:w="1352" w:type="dxa"/>
            <w:shd w:val="clear" w:color="auto" w:fill="auto"/>
            <w:noWrap/>
            <w:hideMark/>
          </w:tcPr>
          <w:p w14:paraId="3AB7DA23" w14:textId="77777777" w:rsidR="006A425C" w:rsidRPr="008E1934" w:rsidRDefault="006A425C" w:rsidP="006A425C">
            <w:pPr>
              <w:jc w:val="center"/>
            </w:pPr>
            <w:r w:rsidRPr="008E1934">
              <w:t>2.531***</w:t>
            </w:r>
          </w:p>
        </w:tc>
        <w:tc>
          <w:tcPr>
            <w:tcW w:w="1485" w:type="dxa"/>
            <w:shd w:val="clear" w:color="auto" w:fill="auto"/>
            <w:noWrap/>
            <w:hideMark/>
          </w:tcPr>
          <w:p w14:paraId="3A3851BF" w14:textId="77777777" w:rsidR="006A425C" w:rsidRPr="008E1934" w:rsidRDefault="006A425C" w:rsidP="006A425C">
            <w:pPr>
              <w:jc w:val="center"/>
            </w:pPr>
            <w:r w:rsidRPr="008E1934">
              <w:t>2.531**</w:t>
            </w:r>
          </w:p>
        </w:tc>
        <w:tc>
          <w:tcPr>
            <w:tcW w:w="1546" w:type="dxa"/>
            <w:shd w:val="clear" w:color="auto" w:fill="auto"/>
            <w:noWrap/>
            <w:hideMark/>
          </w:tcPr>
          <w:p w14:paraId="1DA4EED8" w14:textId="77777777" w:rsidR="006A425C" w:rsidRPr="008E1934" w:rsidRDefault="006A425C" w:rsidP="006A425C">
            <w:pPr>
              <w:jc w:val="center"/>
            </w:pPr>
            <w:r w:rsidRPr="008E1934">
              <w:t>2.491**</w:t>
            </w:r>
          </w:p>
        </w:tc>
        <w:tc>
          <w:tcPr>
            <w:tcW w:w="1485" w:type="dxa"/>
            <w:shd w:val="clear" w:color="auto" w:fill="auto"/>
            <w:noWrap/>
            <w:hideMark/>
          </w:tcPr>
          <w:p w14:paraId="5B6BA1DE" w14:textId="77777777" w:rsidR="006A425C" w:rsidRPr="008E1934" w:rsidRDefault="006A425C" w:rsidP="006A425C">
            <w:pPr>
              <w:jc w:val="center"/>
            </w:pPr>
            <w:r w:rsidRPr="008E1934">
              <w:t>2.491</w:t>
            </w:r>
          </w:p>
        </w:tc>
      </w:tr>
      <w:tr w:rsidR="006A425C" w:rsidRPr="00822FFB" w14:paraId="252C238B" w14:textId="77777777" w:rsidTr="006A425C">
        <w:trPr>
          <w:trHeight w:val="300"/>
        </w:trPr>
        <w:tc>
          <w:tcPr>
            <w:tcW w:w="3708" w:type="dxa"/>
            <w:shd w:val="clear" w:color="auto" w:fill="auto"/>
            <w:noWrap/>
            <w:hideMark/>
          </w:tcPr>
          <w:p w14:paraId="3359120D" w14:textId="77777777" w:rsidR="006A425C" w:rsidRPr="004A74C5" w:rsidRDefault="006A425C" w:rsidP="006A425C">
            <w:r w:rsidRPr="004A74C5">
              <w:t>Durability (b)</w:t>
            </w:r>
          </w:p>
        </w:tc>
        <w:tc>
          <w:tcPr>
            <w:tcW w:w="1352" w:type="dxa"/>
            <w:shd w:val="clear" w:color="auto" w:fill="auto"/>
            <w:noWrap/>
            <w:hideMark/>
          </w:tcPr>
          <w:p w14:paraId="7B16597B" w14:textId="77777777" w:rsidR="006A425C" w:rsidRPr="008E1934" w:rsidRDefault="006A425C" w:rsidP="006A425C">
            <w:pPr>
              <w:jc w:val="center"/>
            </w:pPr>
            <w:r w:rsidRPr="008E1934">
              <w:t>-0.093</w:t>
            </w:r>
          </w:p>
        </w:tc>
        <w:tc>
          <w:tcPr>
            <w:tcW w:w="1485" w:type="dxa"/>
            <w:shd w:val="clear" w:color="auto" w:fill="auto"/>
            <w:noWrap/>
            <w:hideMark/>
          </w:tcPr>
          <w:p w14:paraId="2373BEF1" w14:textId="77777777" w:rsidR="006A425C" w:rsidRPr="008E1934" w:rsidRDefault="006A425C" w:rsidP="006A425C">
            <w:pPr>
              <w:jc w:val="center"/>
            </w:pPr>
            <w:r w:rsidRPr="008E1934">
              <w:t>-0.093</w:t>
            </w:r>
          </w:p>
        </w:tc>
        <w:tc>
          <w:tcPr>
            <w:tcW w:w="1546" w:type="dxa"/>
            <w:shd w:val="clear" w:color="auto" w:fill="auto"/>
            <w:noWrap/>
            <w:hideMark/>
          </w:tcPr>
          <w:p w14:paraId="2A70F5C0" w14:textId="77777777" w:rsidR="006A425C" w:rsidRPr="008E1934" w:rsidRDefault="006A425C" w:rsidP="006A425C">
            <w:pPr>
              <w:jc w:val="center"/>
            </w:pPr>
            <w:r w:rsidRPr="008E1934">
              <w:t>-0.551</w:t>
            </w:r>
          </w:p>
        </w:tc>
        <w:tc>
          <w:tcPr>
            <w:tcW w:w="1485" w:type="dxa"/>
            <w:shd w:val="clear" w:color="auto" w:fill="auto"/>
            <w:noWrap/>
            <w:hideMark/>
          </w:tcPr>
          <w:p w14:paraId="4A908431" w14:textId="77777777" w:rsidR="006A425C" w:rsidRPr="008E1934" w:rsidRDefault="006A425C" w:rsidP="006A425C">
            <w:pPr>
              <w:jc w:val="center"/>
            </w:pPr>
            <w:r w:rsidRPr="008E1934">
              <w:t>-0.551</w:t>
            </w:r>
          </w:p>
        </w:tc>
      </w:tr>
      <w:tr w:rsidR="006A425C" w:rsidRPr="00822FFB" w14:paraId="73A6F0EF" w14:textId="77777777" w:rsidTr="006A425C">
        <w:trPr>
          <w:trHeight w:val="300"/>
        </w:trPr>
        <w:tc>
          <w:tcPr>
            <w:tcW w:w="3708" w:type="dxa"/>
            <w:shd w:val="clear" w:color="auto" w:fill="auto"/>
            <w:noWrap/>
            <w:hideMark/>
          </w:tcPr>
          <w:p w14:paraId="295C59DF" w14:textId="77777777" w:rsidR="006A425C" w:rsidRPr="004A74C5" w:rsidRDefault="006A425C" w:rsidP="006A425C">
            <w:r w:rsidRPr="004A74C5">
              <w:t>Ethnic fractionalization (b)</w:t>
            </w:r>
          </w:p>
        </w:tc>
        <w:tc>
          <w:tcPr>
            <w:tcW w:w="1352" w:type="dxa"/>
            <w:shd w:val="clear" w:color="auto" w:fill="auto"/>
            <w:noWrap/>
            <w:hideMark/>
          </w:tcPr>
          <w:p w14:paraId="56F099B3" w14:textId="77777777" w:rsidR="006A425C" w:rsidRPr="008E1934" w:rsidRDefault="006A425C" w:rsidP="006A425C">
            <w:pPr>
              <w:jc w:val="center"/>
            </w:pPr>
            <w:r w:rsidRPr="008E1934">
              <w:t>-1.240**</w:t>
            </w:r>
          </w:p>
        </w:tc>
        <w:tc>
          <w:tcPr>
            <w:tcW w:w="1485" w:type="dxa"/>
            <w:shd w:val="clear" w:color="auto" w:fill="auto"/>
            <w:noWrap/>
            <w:hideMark/>
          </w:tcPr>
          <w:p w14:paraId="67455220" w14:textId="77777777" w:rsidR="006A425C" w:rsidRPr="008E1934" w:rsidRDefault="006A425C" w:rsidP="006A425C">
            <w:pPr>
              <w:jc w:val="center"/>
            </w:pPr>
            <w:r w:rsidRPr="008E1934">
              <w:t>-1.240*</w:t>
            </w:r>
          </w:p>
        </w:tc>
        <w:tc>
          <w:tcPr>
            <w:tcW w:w="1546" w:type="dxa"/>
            <w:shd w:val="clear" w:color="auto" w:fill="auto"/>
            <w:noWrap/>
            <w:hideMark/>
          </w:tcPr>
          <w:p w14:paraId="696C7741" w14:textId="77777777" w:rsidR="006A425C" w:rsidRPr="008E1934" w:rsidRDefault="006A425C" w:rsidP="006A425C">
            <w:pPr>
              <w:jc w:val="center"/>
            </w:pPr>
            <w:r w:rsidRPr="008E1934">
              <w:t>-1.660**</w:t>
            </w:r>
          </w:p>
        </w:tc>
        <w:tc>
          <w:tcPr>
            <w:tcW w:w="1485" w:type="dxa"/>
            <w:shd w:val="clear" w:color="auto" w:fill="auto"/>
            <w:noWrap/>
            <w:hideMark/>
          </w:tcPr>
          <w:p w14:paraId="0127EC75" w14:textId="77777777" w:rsidR="006A425C" w:rsidRPr="008E1934" w:rsidRDefault="006A425C" w:rsidP="006A425C">
            <w:pPr>
              <w:jc w:val="center"/>
            </w:pPr>
            <w:r w:rsidRPr="008E1934">
              <w:t>-1.660</w:t>
            </w:r>
          </w:p>
        </w:tc>
      </w:tr>
      <w:tr w:rsidR="006A425C" w:rsidRPr="00822FFB" w14:paraId="452A0FEF" w14:textId="77777777" w:rsidTr="006A425C">
        <w:trPr>
          <w:trHeight w:val="300"/>
        </w:trPr>
        <w:tc>
          <w:tcPr>
            <w:tcW w:w="3708" w:type="dxa"/>
            <w:shd w:val="clear" w:color="auto" w:fill="auto"/>
            <w:noWrap/>
            <w:hideMark/>
          </w:tcPr>
          <w:p w14:paraId="6675F603" w14:textId="77777777" w:rsidR="006A425C" w:rsidRPr="004A74C5" w:rsidRDefault="006A425C" w:rsidP="006A425C">
            <w:r w:rsidRPr="004A74C5">
              <w:t>Lagged redistribution (w)</w:t>
            </w:r>
          </w:p>
        </w:tc>
        <w:tc>
          <w:tcPr>
            <w:tcW w:w="1352" w:type="dxa"/>
            <w:shd w:val="clear" w:color="auto" w:fill="auto"/>
            <w:noWrap/>
            <w:hideMark/>
          </w:tcPr>
          <w:p w14:paraId="566BB9C3" w14:textId="77777777" w:rsidR="006A425C" w:rsidRPr="008E1934" w:rsidRDefault="006A425C" w:rsidP="006A425C">
            <w:pPr>
              <w:jc w:val="center"/>
            </w:pPr>
            <w:r w:rsidRPr="008E1934">
              <w:t>1.635***</w:t>
            </w:r>
          </w:p>
        </w:tc>
        <w:tc>
          <w:tcPr>
            <w:tcW w:w="1485" w:type="dxa"/>
            <w:shd w:val="clear" w:color="auto" w:fill="auto"/>
            <w:noWrap/>
            <w:hideMark/>
          </w:tcPr>
          <w:p w14:paraId="7DC26486" w14:textId="77777777" w:rsidR="006A425C" w:rsidRPr="008E1934" w:rsidRDefault="006A425C" w:rsidP="006A425C">
            <w:pPr>
              <w:jc w:val="center"/>
            </w:pPr>
            <w:r w:rsidRPr="008E1934">
              <w:t>1.635***</w:t>
            </w:r>
          </w:p>
        </w:tc>
        <w:tc>
          <w:tcPr>
            <w:tcW w:w="1546" w:type="dxa"/>
            <w:shd w:val="clear" w:color="auto" w:fill="auto"/>
            <w:noWrap/>
            <w:hideMark/>
          </w:tcPr>
          <w:p w14:paraId="25975E18" w14:textId="77777777" w:rsidR="006A425C" w:rsidRPr="008E1934" w:rsidRDefault="006A425C" w:rsidP="006A425C">
            <w:pPr>
              <w:jc w:val="center"/>
            </w:pPr>
            <w:r w:rsidRPr="008E1934">
              <w:t>1.503***</w:t>
            </w:r>
          </w:p>
        </w:tc>
        <w:tc>
          <w:tcPr>
            <w:tcW w:w="1485" w:type="dxa"/>
            <w:shd w:val="clear" w:color="auto" w:fill="auto"/>
            <w:noWrap/>
            <w:hideMark/>
          </w:tcPr>
          <w:p w14:paraId="3B018A79" w14:textId="77777777" w:rsidR="006A425C" w:rsidRPr="008E1934" w:rsidRDefault="006A425C" w:rsidP="006A425C">
            <w:pPr>
              <w:jc w:val="center"/>
            </w:pPr>
            <w:r w:rsidRPr="008E1934">
              <w:t>1.503***</w:t>
            </w:r>
          </w:p>
        </w:tc>
      </w:tr>
      <w:tr w:rsidR="006A425C" w:rsidRPr="00822FFB" w14:paraId="3E22D4AB" w14:textId="77777777" w:rsidTr="006A425C">
        <w:trPr>
          <w:trHeight w:val="300"/>
        </w:trPr>
        <w:tc>
          <w:tcPr>
            <w:tcW w:w="3708" w:type="dxa"/>
            <w:shd w:val="clear" w:color="auto" w:fill="auto"/>
            <w:noWrap/>
            <w:hideMark/>
          </w:tcPr>
          <w:p w14:paraId="79B224B4" w14:textId="77777777" w:rsidR="006A425C" w:rsidRPr="004A74C5" w:rsidRDefault="006A425C" w:rsidP="006A425C">
            <w:r w:rsidRPr="004A74C5">
              <w:t>Market inequality (w)</w:t>
            </w:r>
          </w:p>
        </w:tc>
        <w:tc>
          <w:tcPr>
            <w:tcW w:w="1352" w:type="dxa"/>
            <w:shd w:val="clear" w:color="auto" w:fill="auto"/>
            <w:noWrap/>
            <w:hideMark/>
          </w:tcPr>
          <w:p w14:paraId="42370846" w14:textId="77777777" w:rsidR="006A425C" w:rsidRPr="008E1934" w:rsidRDefault="006A425C" w:rsidP="006A425C">
            <w:pPr>
              <w:jc w:val="center"/>
            </w:pPr>
            <w:r w:rsidRPr="008E1934">
              <w:t>0.625***</w:t>
            </w:r>
          </w:p>
        </w:tc>
        <w:tc>
          <w:tcPr>
            <w:tcW w:w="1485" w:type="dxa"/>
            <w:shd w:val="clear" w:color="auto" w:fill="auto"/>
            <w:noWrap/>
            <w:hideMark/>
          </w:tcPr>
          <w:p w14:paraId="54453B12" w14:textId="77777777" w:rsidR="006A425C" w:rsidRPr="008E1934" w:rsidRDefault="006A425C" w:rsidP="006A425C">
            <w:pPr>
              <w:jc w:val="center"/>
            </w:pPr>
            <w:r w:rsidRPr="008E1934">
              <w:t>0.625***</w:t>
            </w:r>
          </w:p>
        </w:tc>
        <w:tc>
          <w:tcPr>
            <w:tcW w:w="1546" w:type="dxa"/>
            <w:shd w:val="clear" w:color="auto" w:fill="auto"/>
            <w:noWrap/>
            <w:hideMark/>
          </w:tcPr>
          <w:p w14:paraId="7EF812FA" w14:textId="77777777" w:rsidR="006A425C" w:rsidRPr="008E1934" w:rsidRDefault="006A425C" w:rsidP="006A425C">
            <w:pPr>
              <w:jc w:val="center"/>
            </w:pPr>
            <w:r w:rsidRPr="008E1934">
              <w:t>0.987***</w:t>
            </w:r>
          </w:p>
        </w:tc>
        <w:tc>
          <w:tcPr>
            <w:tcW w:w="1485" w:type="dxa"/>
            <w:shd w:val="clear" w:color="auto" w:fill="auto"/>
            <w:noWrap/>
            <w:hideMark/>
          </w:tcPr>
          <w:p w14:paraId="0DFD012D" w14:textId="77777777" w:rsidR="006A425C" w:rsidRPr="008E1934" w:rsidRDefault="006A425C" w:rsidP="006A425C">
            <w:pPr>
              <w:jc w:val="center"/>
            </w:pPr>
            <w:r w:rsidRPr="008E1934">
              <w:t>0.987***</w:t>
            </w:r>
          </w:p>
        </w:tc>
      </w:tr>
      <w:tr w:rsidR="006A425C" w:rsidRPr="00822FFB" w14:paraId="1D3636E7" w14:textId="77777777" w:rsidTr="006A425C">
        <w:trPr>
          <w:trHeight w:val="300"/>
        </w:trPr>
        <w:tc>
          <w:tcPr>
            <w:tcW w:w="3708" w:type="dxa"/>
            <w:shd w:val="clear" w:color="auto" w:fill="auto"/>
            <w:noWrap/>
            <w:hideMark/>
          </w:tcPr>
          <w:p w14:paraId="59457C3C" w14:textId="77777777" w:rsidR="006A425C" w:rsidRPr="004A74C5" w:rsidRDefault="006A425C" w:rsidP="006A425C">
            <w:r w:rsidRPr="004A74C5">
              <w:t>Left executive (w)</w:t>
            </w:r>
          </w:p>
        </w:tc>
        <w:tc>
          <w:tcPr>
            <w:tcW w:w="1352" w:type="dxa"/>
            <w:shd w:val="clear" w:color="auto" w:fill="auto"/>
            <w:noWrap/>
            <w:hideMark/>
          </w:tcPr>
          <w:p w14:paraId="59BBFB03" w14:textId="77777777" w:rsidR="006A425C" w:rsidRPr="008E1934" w:rsidRDefault="006A425C" w:rsidP="006A425C">
            <w:pPr>
              <w:jc w:val="center"/>
            </w:pPr>
            <w:r w:rsidRPr="008E1934">
              <w:t>0.068**</w:t>
            </w:r>
          </w:p>
        </w:tc>
        <w:tc>
          <w:tcPr>
            <w:tcW w:w="1485" w:type="dxa"/>
            <w:shd w:val="clear" w:color="auto" w:fill="auto"/>
            <w:noWrap/>
            <w:hideMark/>
          </w:tcPr>
          <w:p w14:paraId="1B998D8A" w14:textId="77777777" w:rsidR="006A425C" w:rsidRPr="008E1934" w:rsidRDefault="006A425C" w:rsidP="006A425C">
            <w:pPr>
              <w:jc w:val="center"/>
            </w:pPr>
            <w:r w:rsidRPr="008E1934">
              <w:t>0.068**</w:t>
            </w:r>
          </w:p>
        </w:tc>
        <w:tc>
          <w:tcPr>
            <w:tcW w:w="1546" w:type="dxa"/>
            <w:shd w:val="clear" w:color="auto" w:fill="auto"/>
            <w:noWrap/>
            <w:hideMark/>
          </w:tcPr>
          <w:p w14:paraId="6CD7ACBD" w14:textId="77777777" w:rsidR="006A425C" w:rsidRPr="008E1934" w:rsidRDefault="006A425C" w:rsidP="006A425C">
            <w:pPr>
              <w:jc w:val="center"/>
            </w:pPr>
            <w:r w:rsidRPr="008E1934">
              <w:t>0.064</w:t>
            </w:r>
          </w:p>
        </w:tc>
        <w:tc>
          <w:tcPr>
            <w:tcW w:w="1485" w:type="dxa"/>
            <w:shd w:val="clear" w:color="auto" w:fill="auto"/>
            <w:noWrap/>
            <w:hideMark/>
          </w:tcPr>
          <w:p w14:paraId="290AC50C" w14:textId="77777777" w:rsidR="006A425C" w:rsidRPr="008E1934" w:rsidRDefault="006A425C" w:rsidP="006A425C">
            <w:pPr>
              <w:jc w:val="center"/>
            </w:pPr>
            <w:r w:rsidRPr="008E1934">
              <w:t>0.064</w:t>
            </w:r>
          </w:p>
        </w:tc>
      </w:tr>
      <w:tr w:rsidR="006A425C" w:rsidRPr="00822FFB" w14:paraId="7823DBC1" w14:textId="77777777" w:rsidTr="006A425C">
        <w:trPr>
          <w:trHeight w:val="300"/>
        </w:trPr>
        <w:tc>
          <w:tcPr>
            <w:tcW w:w="3708" w:type="dxa"/>
            <w:shd w:val="clear" w:color="auto" w:fill="auto"/>
            <w:noWrap/>
            <w:hideMark/>
          </w:tcPr>
          <w:p w14:paraId="43E4F1B7" w14:textId="77777777" w:rsidR="006A425C" w:rsidRPr="004A74C5" w:rsidRDefault="006A425C" w:rsidP="006A425C">
            <w:r w:rsidRPr="004A74C5">
              <w:t>Political constraints (w)</w:t>
            </w:r>
          </w:p>
        </w:tc>
        <w:tc>
          <w:tcPr>
            <w:tcW w:w="1352" w:type="dxa"/>
            <w:shd w:val="clear" w:color="auto" w:fill="auto"/>
            <w:noWrap/>
            <w:hideMark/>
          </w:tcPr>
          <w:p w14:paraId="4119E35B" w14:textId="77777777" w:rsidR="006A425C" w:rsidRPr="008E1934" w:rsidRDefault="006A425C" w:rsidP="006A425C">
            <w:pPr>
              <w:jc w:val="center"/>
            </w:pPr>
            <w:r w:rsidRPr="008E1934">
              <w:t>-0.035</w:t>
            </w:r>
          </w:p>
        </w:tc>
        <w:tc>
          <w:tcPr>
            <w:tcW w:w="1485" w:type="dxa"/>
            <w:shd w:val="clear" w:color="auto" w:fill="auto"/>
            <w:noWrap/>
            <w:hideMark/>
          </w:tcPr>
          <w:p w14:paraId="1933E6CA" w14:textId="77777777" w:rsidR="006A425C" w:rsidRPr="008E1934" w:rsidRDefault="006A425C" w:rsidP="006A425C">
            <w:pPr>
              <w:jc w:val="center"/>
            </w:pPr>
            <w:r w:rsidRPr="008E1934">
              <w:t>-0.035</w:t>
            </w:r>
          </w:p>
        </w:tc>
        <w:tc>
          <w:tcPr>
            <w:tcW w:w="1546" w:type="dxa"/>
            <w:shd w:val="clear" w:color="auto" w:fill="auto"/>
            <w:noWrap/>
            <w:hideMark/>
          </w:tcPr>
          <w:p w14:paraId="772986DB" w14:textId="77777777" w:rsidR="006A425C" w:rsidRPr="008E1934" w:rsidRDefault="006A425C" w:rsidP="006A425C">
            <w:pPr>
              <w:jc w:val="center"/>
            </w:pPr>
            <w:r w:rsidRPr="008E1934">
              <w:t>-0.017</w:t>
            </w:r>
          </w:p>
        </w:tc>
        <w:tc>
          <w:tcPr>
            <w:tcW w:w="1485" w:type="dxa"/>
            <w:shd w:val="clear" w:color="auto" w:fill="auto"/>
            <w:noWrap/>
            <w:hideMark/>
          </w:tcPr>
          <w:p w14:paraId="0F277799" w14:textId="77777777" w:rsidR="006A425C" w:rsidRPr="008E1934" w:rsidRDefault="006A425C" w:rsidP="006A425C">
            <w:pPr>
              <w:jc w:val="center"/>
            </w:pPr>
            <w:r w:rsidRPr="008E1934">
              <w:t>-0.017</w:t>
            </w:r>
          </w:p>
        </w:tc>
      </w:tr>
      <w:tr w:rsidR="006A425C" w:rsidRPr="00822FFB" w14:paraId="72D963D4" w14:textId="77777777" w:rsidTr="006A425C">
        <w:trPr>
          <w:trHeight w:val="300"/>
        </w:trPr>
        <w:tc>
          <w:tcPr>
            <w:tcW w:w="3708" w:type="dxa"/>
            <w:shd w:val="clear" w:color="auto" w:fill="auto"/>
            <w:noWrap/>
            <w:hideMark/>
          </w:tcPr>
          <w:p w14:paraId="12B27DA4" w14:textId="77777777" w:rsidR="006A425C" w:rsidRPr="004A74C5" w:rsidRDefault="006A425C" w:rsidP="006A425C">
            <w:r w:rsidRPr="004A74C5">
              <w:t>Turnout (w)</w:t>
            </w:r>
          </w:p>
        </w:tc>
        <w:tc>
          <w:tcPr>
            <w:tcW w:w="1352" w:type="dxa"/>
            <w:shd w:val="clear" w:color="auto" w:fill="auto"/>
            <w:noWrap/>
            <w:hideMark/>
          </w:tcPr>
          <w:p w14:paraId="648AC03D" w14:textId="77777777" w:rsidR="006A425C" w:rsidRPr="008E1934" w:rsidRDefault="006A425C" w:rsidP="006A425C">
            <w:pPr>
              <w:jc w:val="center"/>
            </w:pPr>
            <w:r w:rsidRPr="008E1934">
              <w:t>0.011</w:t>
            </w:r>
          </w:p>
        </w:tc>
        <w:tc>
          <w:tcPr>
            <w:tcW w:w="1485" w:type="dxa"/>
            <w:shd w:val="clear" w:color="auto" w:fill="auto"/>
            <w:noWrap/>
            <w:hideMark/>
          </w:tcPr>
          <w:p w14:paraId="39FDBED3" w14:textId="77777777" w:rsidR="006A425C" w:rsidRPr="008E1934" w:rsidRDefault="006A425C" w:rsidP="006A425C">
            <w:pPr>
              <w:jc w:val="center"/>
            </w:pPr>
            <w:r w:rsidRPr="008E1934">
              <w:t>0.011</w:t>
            </w:r>
          </w:p>
        </w:tc>
        <w:tc>
          <w:tcPr>
            <w:tcW w:w="1546" w:type="dxa"/>
            <w:shd w:val="clear" w:color="auto" w:fill="auto"/>
            <w:noWrap/>
            <w:hideMark/>
          </w:tcPr>
          <w:p w14:paraId="568E7640" w14:textId="77777777" w:rsidR="006A425C" w:rsidRPr="008E1934" w:rsidRDefault="006A425C" w:rsidP="006A425C">
            <w:pPr>
              <w:jc w:val="center"/>
            </w:pPr>
            <w:r w:rsidRPr="008E1934">
              <w:t>-0.031</w:t>
            </w:r>
          </w:p>
        </w:tc>
        <w:tc>
          <w:tcPr>
            <w:tcW w:w="1485" w:type="dxa"/>
            <w:shd w:val="clear" w:color="auto" w:fill="auto"/>
            <w:noWrap/>
            <w:hideMark/>
          </w:tcPr>
          <w:p w14:paraId="325B47AC" w14:textId="77777777" w:rsidR="006A425C" w:rsidRPr="008E1934" w:rsidRDefault="006A425C" w:rsidP="006A425C">
            <w:pPr>
              <w:jc w:val="center"/>
            </w:pPr>
            <w:r w:rsidRPr="008E1934">
              <w:t>-0.031</w:t>
            </w:r>
          </w:p>
        </w:tc>
      </w:tr>
      <w:tr w:rsidR="006A425C" w:rsidRPr="00822FFB" w14:paraId="698A7296" w14:textId="77777777" w:rsidTr="006A425C">
        <w:trPr>
          <w:trHeight w:val="300"/>
        </w:trPr>
        <w:tc>
          <w:tcPr>
            <w:tcW w:w="3708" w:type="dxa"/>
            <w:shd w:val="clear" w:color="auto" w:fill="auto"/>
            <w:noWrap/>
            <w:hideMark/>
          </w:tcPr>
          <w:p w14:paraId="18D7ADC2" w14:textId="77777777" w:rsidR="006A425C" w:rsidRPr="004A74C5" w:rsidRDefault="006A425C" w:rsidP="006A425C">
            <w:r w:rsidRPr="004A74C5">
              <w:t>GDP/pcp (w)</w:t>
            </w:r>
          </w:p>
        </w:tc>
        <w:tc>
          <w:tcPr>
            <w:tcW w:w="1352" w:type="dxa"/>
            <w:shd w:val="clear" w:color="auto" w:fill="auto"/>
            <w:noWrap/>
            <w:hideMark/>
          </w:tcPr>
          <w:p w14:paraId="2531BB21" w14:textId="77777777" w:rsidR="006A425C" w:rsidRPr="008E1934" w:rsidRDefault="006A425C" w:rsidP="006A425C">
            <w:pPr>
              <w:jc w:val="center"/>
            </w:pPr>
            <w:r w:rsidRPr="008E1934">
              <w:t>-0.148**</w:t>
            </w:r>
          </w:p>
        </w:tc>
        <w:tc>
          <w:tcPr>
            <w:tcW w:w="1485" w:type="dxa"/>
            <w:shd w:val="clear" w:color="auto" w:fill="auto"/>
            <w:noWrap/>
            <w:hideMark/>
          </w:tcPr>
          <w:p w14:paraId="7FE497AF" w14:textId="77777777" w:rsidR="006A425C" w:rsidRPr="008E1934" w:rsidRDefault="006A425C" w:rsidP="006A425C">
            <w:pPr>
              <w:jc w:val="center"/>
            </w:pPr>
            <w:r w:rsidRPr="008E1934">
              <w:t>-0.148*</w:t>
            </w:r>
          </w:p>
        </w:tc>
        <w:tc>
          <w:tcPr>
            <w:tcW w:w="1546" w:type="dxa"/>
            <w:shd w:val="clear" w:color="auto" w:fill="auto"/>
            <w:noWrap/>
            <w:hideMark/>
          </w:tcPr>
          <w:p w14:paraId="7F9C0556" w14:textId="77777777" w:rsidR="006A425C" w:rsidRPr="008E1934" w:rsidRDefault="006A425C" w:rsidP="006A425C">
            <w:pPr>
              <w:jc w:val="center"/>
            </w:pPr>
            <w:r w:rsidRPr="008E1934">
              <w:t>-0.135</w:t>
            </w:r>
          </w:p>
        </w:tc>
        <w:tc>
          <w:tcPr>
            <w:tcW w:w="1485" w:type="dxa"/>
            <w:shd w:val="clear" w:color="auto" w:fill="auto"/>
            <w:noWrap/>
            <w:hideMark/>
          </w:tcPr>
          <w:p w14:paraId="1F85C2AF" w14:textId="77777777" w:rsidR="006A425C" w:rsidRPr="008E1934" w:rsidRDefault="006A425C" w:rsidP="006A425C">
            <w:pPr>
              <w:jc w:val="center"/>
            </w:pPr>
            <w:r w:rsidRPr="008E1934">
              <w:t>-0.135</w:t>
            </w:r>
          </w:p>
        </w:tc>
      </w:tr>
      <w:tr w:rsidR="006A425C" w:rsidRPr="00822FFB" w14:paraId="619A9081" w14:textId="77777777" w:rsidTr="006A425C">
        <w:trPr>
          <w:trHeight w:val="300"/>
        </w:trPr>
        <w:tc>
          <w:tcPr>
            <w:tcW w:w="3708" w:type="dxa"/>
            <w:shd w:val="clear" w:color="auto" w:fill="auto"/>
            <w:noWrap/>
            <w:hideMark/>
          </w:tcPr>
          <w:p w14:paraId="7F5ADB7A" w14:textId="77777777" w:rsidR="006A425C" w:rsidRPr="004A74C5" w:rsidRDefault="006A425C" w:rsidP="006A425C">
            <w:r w:rsidRPr="004A74C5">
              <w:t>Unemployment (w)</w:t>
            </w:r>
          </w:p>
        </w:tc>
        <w:tc>
          <w:tcPr>
            <w:tcW w:w="1352" w:type="dxa"/>
            <w:shd w:val="clear" w:color="auto" w:fill="auto"/>
            <w:noWrap/>
            <w:hideMark/>
          </w:tcPr>
          <w:p w14:paraId="5BA2C23E" w14:textId="77777777" w:rsidR="006A425C" w:rsidRPr="008E1934" w:rsidRDefault="006A425C" w:rsidP="006A425C">
            <w:pPr>
              <w:jc w:val="center"/>
            </w:pPr>
            <w:r w:rsidRPr="008E1934">
              <w:t>0.005</w:t>
            </w:r>
          </w:p>
        </w:tc>
        <w:tc>
          <w:tcPr>
            <w:tcW w:w="1485" w:type="dxa"/>
            <w:shd w:val="clear" w:color="auto" w:fill="auto"/>
            <w:noWrap/>
            <w:hideMark/>
          </w:tcPr>
          <w:p w14:paraId="0E02A629" w14:textId="77777777" w:rsidR="006A425C" w:rsidRPr="008E1934" w:rsidRDefault="006A425C" w:rsidP="006A425C">
            <w:pPr>
              <w:jc w:val="center"/>
            </w:pPr>
            <w:r w:rsidRPr="008E1934">
              <w:t>0.005</w:t>
            </w:r>
          </w:p>
        </w:tc>
        <w:tc>
          <w:tcPr>
            <w:tcW w:w="1546" w:type="dxa"/>
            <w:shd w:val="clear" w:color="auto" w:fill="auto"/>
            <w:noWrap/>
            <w:hideMark/>
          </w:tcPr>
          <w:p w14:paraId="16AD1A03" w14:textId="77777777" w:rsidR="006A425C" w:rsidRPr="008E1934" w:rsidRDefault="006A425C" w:rsidP="006A425C">
            <w:pPr>
              <w:jc w:val="center"/>
            </w:pPr>
            <w:r w:rsidRPr="008E1934">
              <w:t>0.039</w:t>
            </w:r>
          </w:p>
        </w:tc>
        <w:tc>
          <w:tcPr>
            <w:tcW w:w="1485" w:type="dxa"/>
            <w:shd w:val="clear" w:color="auto" w:fill="auto"/>
            <w:noWrap/>
            <w:hideMark/>
          </w:tcPr>
          <w:p w14:paraId="09CB9187" w14:textId="77777777" w:rsidR="006A425C" w:rsidRPr="008E1934" w:rsidRDefault="006A425C" w:rsidP="006A425C">
            <w:pPr>
              <w:jc w:val="center"/>
            </w:pPr>
            <w:r w:rsidRPr="008E1934">
              <w:t>0.039</w:t>
            </w:r>
          </w:p>
        </w:tc>
      </w:tr>
      <w:tr w:rsidR="006A425C" w:rsidRPr="00822FFB" w14:paraId="32190E95" w14:textId="77777777" w:rsidTr="006A425C">
        <w:trPr>
          <w:trHeight w:val="300"/>
        </w:trPr>
        <w:tc>
          <w:tcPr>
            <w:tcW w:w="3708" w:type="dxa"/>
            <w:shd w:val="clear" w:color="auto" w:fill="auto"/>
            <w:noWrap/>
            <w:hideMark/>
          </w:tcPr>
          <w:p w14:paraId="01A68201" w14:textId="79F44008" w:rsidR="006A425C" w:rsidRPr="004A74C5" w:rsidRDefault="00B24987" w:rsidP="006A425C">
            <w:r>
              <w:t>Exports</w:t>
            </w:r>
            <w:r w:rsidR="006A425C" w:rsidRPr="004A74C5">
              <w:t xml:space="preserve"> (w)</w:t>
            </w:r>
          </w:p>
        </w:tc>
        <w:tc>
          <w:tcPr>
            <w:tcW w:w="1352" w:type="dxa"/>
            <w:shd w:val="clear" w:color="auto" w:fill="auto"/>
            <w:noWrap/>
            <w:hideMark/>
          </w:tcPr>
          <w:p w14:paraId="6BD60B5F" w14:textId="77777777" w:rsidR="006A425C" w:rsidRPr="008E1934" w:rsidRDefault="006A425C" w:rsidP="006A425C">
            <w:pPr>
              <w:jc w:val="center"/>
            </w:pPr>
            <w:r w:rsidRPr="008E1934">
              <w:t>-0.307*</w:t>
            </w:r>
          </w:p>
        </w:tc>
        <w:tc>
          <w:tcPr>
            <w:tcW w:w="1485" w:type="dxa"/>
            <w:shd w:val="clear" w:color="auto" w:fill="auto"/>
            <w:noWrap/>
            <w:hideMark/>
          </w:tcPr>
          <w:p w14:paraId="0D7F1F65" w14:textId="77777777" w:rsidR="006A425C" w:rsidRPr="008E1934" w:rsidRDefault="006A425C" w:rsidP="006A425C">
            <w:pPr>
              <w:jc w:val="center"/>
            </w:pPr>
            <w:r w:rsidRPr="008E1934">
              <w:t>-0.307</w:t>
            </w:r>
          </w:p>
        </w:tc>
        <w:tc>
          <w:tcPr>
            <w:tcW w:w="1546" w:type="dxa"/>
            <w:shd w:val="clear" w:color="auto" w:fill="auto"/>
            <w:noWrap/>
            <w:hideMark/>
          </w:tcPr>
          <w:p w14:paraId="60E429A6" w14:textId="77777777" w:rsidR="006A425C" w:rsidRPr="008E1934" w:rsidRDefault="006A425C" w:rsidP="006A425C">
            <w:pPr>
              <w:jc w:val="center"/>
            </w:pPr>
            <w:r w:rsidRPr="008E1934">
              <w:t>-0.357*</w:t>
            </w:r>
          </w:p>
        </w:tc>
        <w:tc>
          <w:tcPr>
            <w:tcW w:w="1485" w:type="dxa"/>
            <w:shd w:val="clear" w:color="auto" w:fill="auto"/>
            <w:noWrap/>
            <w:hideMark/>
          </w:tcPr>
          <w:p w14:paraId="2C1EBBD8" w14:textId="77777777" w:rsidR="006A425C" w:rsidRPr="008E1934" w:rsidRDefault="006A425C" w:rsidP="006A425C">
            <w:pPr>
              <w:jc w:val="center"/>
            </w:pPr>
            <w:r w:rsidRPr="008E1934">
              <w:t>-0.357</w:t>
            </w:r>
          </w:p>
        </w:tc>
      </w:tr>
      <w:tr w:rsidR="006A425C" w:rsidRPr="00822FFB" w14:paraId="14102FC6" w14:textId="77777777" w:rsidTr="006A425C">
        <w:trPr>
          <w:trHeight w:val="300"/>
        </w:trPr>
        <w:tc>
          <w:tcPr>
            <w:tcW w:w="3708" w:type="dxa"/>
            <w:shd w:val="clear" w:color="auto" w:fill="auto"/>
            <w:noWrap/>
            <w:hideMark/>
          </w:tcPr>
          <w:p w14:paraId="06513E0D" w14:textId="79250FD7" w:rsidR="006A425C" w:rsidRPr="004A74C5" w:rsidRDefault="00B24987" w:rsidP="006A425C">
            <w:r>
              <w:t>Imports</w:t>
            </w:r>
            <w:r w:rsidR="006A425C" w:rsidRPr="004A74C5">
              <w:t xml:space="preserve"> (w)</w:t>
            </w:r>
          </w:p>
        </w:tc>
        <w:tc>
          <w:tcPr>
            <w:tcW w:w="1352" w:type="dxa"/>
            <w:shd w:val="clear" w:color="auto" w:fill="auto"/>
            <w:noWrap/>
            <w:hideMark/>
          </w:tcPr>
          <w:p w14:paraId="75C63CFB" w14:textId="77777777" w:rsidR="006A425C" w:rsidRPr="008E1934" w:rsidRDefault="006A425C" w:rsidP="006A425C">
            <w:pPr>
              <w:jc w:val="center"/>
            </w:pPr>
            <w:r w:rsidRPr="008E1934">
              <w:t>0.298*</w:t>
            </w:r>
          </w:p>
        </w:tc>
        <w:tc>
          <w:tcPr>
            <w:tcW w:w="1485" w:type="dxa"/>
            <w:shd w:val="clear" w:color="auto" w:fill="auto"/>
            <w:noWrap/>
            <w:hideMark/>
          </w:tcPr>
          <w:p w14:paraId="511E553B" w14:textId="77777777" w:rsidR="006A425C" w:rsidRPr="008E1934" w:rsidRDefault="006A425C" w:rsidP="006A425C">
            <w:pPr>
              <w:jc w:val="center"/>
            </w:pPr>
            <w:r w:rsidRPr="008E1934">
              <w:t>0.298</w:t>
            </w:r>
          </w:p>
        </w:tc>
        <w:tc>
          <w:tcPr>
            <w:tcW w:w="1546" w:type="dxa"/>
            <w:shd w:val="clear" w:color="auto" w:fill="auto"/>
            <w:noWrap/>
            <w:hideMark/>
          </w:tcPr>
          <w:p w14:paraId="13B88F94" w14:textId="77777777" w:rsidR="006A425C" w:rsidRPr="008E1934" w:rsidRDefault="006A425C" w:rsidP="006A425C">
            <w:pPr>
              <w:jc w:val="center"/>
            </w:pPr>
            <w:r w:rsidRPr="008E1934">
              <w:t>0.340*</w:t>
            </w:r>
          </w:p>
        </w:tc>
        <w:tc>
          <w:tcPr>
            <w:tcW w:w="1485" w:type="dxa"/>
            <w:shd w:val="clear" w:color="auto" w:fill="auto"/>
            <w:noWrap/>
            <w:hideMark/>
          </w:tcPr>
          <w:p w14:paraId="2A68DDC2" w14:textId="77777777" w:rsidR="006A425C" w:rsidRPr="008E1934" w:rsidRDefault="006A425C" w:rsidP="006A425C">
            <w:pPr>
              <w:jc w:val="center"/>
            </w:pPr>
            <w:r w:rsidRPr="008E1934">
              <w:t>0.340</w:t>
            </w:r>
          </w:p>
        </w:tc>
      </w:tr>
      <w:tr w:rsidR="006A425C" w:rsidRPr="00822FFB" w14:paraId="77CF81B9" w14:textId="77777777" w:rsidTr="006A425C">
        <w:trPr>
          <w:trHeight w:val="300"/>
        </w:trPr>
        <w:tc>
          <w:tcPr>
            <w:tcW w:w="3708" w:type="dxa"/>
            <w:shd w:val="clear" w:color="auto" w:fill="auto"/>
            <w:noWrap/>
            <w:hideMark/>
          </w:tcPr>
          <w:p w14:paraId="4C057FAB" w14:textId="77777777" w:rsidR="006A425C" w:rsidRPr="004A74C5" w:rsidRDefault="006A425C" w:rsidP="006A425C">
            <w:r w:rsidRPr="004A74C5">
              <w:t>Female labor force participation (w)</w:t>
            </w:r>
          </w:p>
        </w:tc>
        <w:tc>
          <w:tcPr>
            <w:tcW w:w="1352" w:type="dxa"/>
            <w:shd w:val="clear" w:color="auto" w:fill="auto"/>
            <w:noWrap/>
            <w:hideMark/>
          </w:tcPr>
          <w:p w14:paraId="09FF9A91" w14:textId="77777777" w:rsidR="006A425C" w:rsidRPr="008E1934" w:rsidRDefault="006A425C" w:rsidP="006A425C">
            <w:pPr>
              <w:jc w:val="center"/>
            </w:pPr>
            <w:r w:rsidRPr="008E1934">
              <w:t>0.056</w:t>
            </w:r>
          </w:p>
        </w:tc>
        <w:tc>
          <w:tcPr>
            <w:tcW w:w="1485" w:type="dxa"/>
            <w:shd w:val="clear" w:color="auto" w:fill="auto"/>
            <w:noWrap/>
            <w:hideMark/>
          </w:tcPr>
          <w:p w14:paraId="2DD95F2E" w14:textId="77777777" w:rsidR="006A425C" w:rsidRPr="008E1934" w:rsidRDefault="006A425C" w:rsidP="006A425C">
            <w:pPr>
              <w:jc w:val="center"/>
            </w:pPr>
            <w:r w:rsidRPr="008E1934">
              <w:t>0.056</w:t>
            </w:r>
          </w:p>
        </w:tc>
        <w:tc>
          <w:tcPr>
            <w:tcW w:w="1546" w:type="dxa"/>
            <w:shd w:val="clear" w:color="auto" w:fill="auto"/>
            <w:noWrap/>
            <w:hideMark/>
          </w:tcPr>
          <w:p w14:paraId="07252B86" w14:textId="77777777" w:rsidR="006A425C" w:rsidRPr="008E1934" w:rsidRDefault="006A425C" w:rsidP="006A425C">
            <w:pPr>
              <w:jc w:val="center"/>
            </w:pPr>
            <w:r w:rsidRPr="008E1934">
              <w:t>0.237***</w:t>
            </w:r>
          </w:p>
        </w:tc>
        <w:tc>
          <w:tcPr>
            <w:tcW w:w="1485" w:type="dxa"/>
            <w:shd w:val="clear" w:color="auto" w:fill="auto"/>
            <w:noWrap/>
            <w:hideMark/>
          </w:tcPr>
          <w:p w14:paraId="380375EB" w14:textId="77777777" w:rsidR="006A425C" w:rsidRPr="008E1934" w:rsidRDefault="006A425C" w:rsidP="006A425C">
            <w:pPr>
              <w:jc w:val="center"/>
            </w:pPr>
            <w:r w:rsidRPr="008E1934">
              <w:t>0.237**</w:t>
            </w:r>
          </w:p>
        </w:tc>
      </w:tr>
      <w:tr w:rsidR="006A425C" w:rsidRPr="00822FFB" w14:paraId="4EAB0C7B" w14:textId="77777777" w:rsidTr="006A425C">
        <w:trPr>
          <w:trHeight w:val="300"/>
        </w:trPr>
        <w:tc>
          <w:tcPr>
            <w:tcW w:w="3708" w:type="dxa"/>
            <w:shd w:val="clear" w:color="auto" w:fill="auto"/>
            <w:noWrap/>
            <w:hideMark/>
          </w:tcPr>
          <w:p w14:paraId="6EB08FBD" w14:textId="77777777" w:rsidR="006A425C" w:rsidRPr="004A74C5" w:rsidRDefault="006A425C" w:rsidP="006A425C">
            <w:r w:rsidRPr="004A74C5">
              <w:t>Age dependency ratio (w)</w:t>
            </w:r>
          </w:p>
        </w:tc>
        <w:tc>
          <w:tcPr>
            <w:tcW w:w="1352" w:type="dxa"/>
            <w:shd w:val="clear" w:color="auto" w:fill="auto"/>
            <w:noWrap/>
            <w:hideMark/>
          </w:tcPr>
          <w:p w14:paraId="0687377B" w14:textId="77777777" w:rsidR="006A425C" w:rsidRPr="008E1934" w:rsidRDefault="006A425C" w:rsidP="006A425C">
            <w:pPr>
              <w:jc w:val="center"/>
            </w:pPr>
            <w:r w:rsidRPr="008E1934">
              <w:t>0.119</w:t>
            </w:r>
          </w:p>
        </w:tc>
        <w:tc>
          <w:tcPr>
            <w:tcW w:w="1485" w:type="dxa"/>
            <w:shd w:val="clear" w:color="auto" w:fill="auto"/>
            <w:noWrap/>
            <w:hideMark/>
          </w:tcPr>
          <w:p w14:paraId="0C6819DE" w14:textId="77777777" w:rsidR="006A425C" w:rsidRPr="008E1934" w:rsidRDefault="006A425C" w:rsidP="006A425C">
            <w:pPr>
              <w:jc w:val="center"/>
            </w:pPr>
            <w:r w:rsidRPr="008E1934">
              <w:t>0.119</w:t>
            </w:r>
          </w:p>
        </w:tc>
        <w:tc>
          <w:tcPr>
            <w:tcW w:w="1546" w:type="dxa"/>
            <w:shd w:val="clear" w:color="auto" w:fill="auto"/>
            <w:noWrap/>
            <w:hideMark/>
          </w:tcPr>
          <w:p w14:paraId="10B50543" w14:textId="77777777" w:rsidR="006A425C" w:rsidRPr="008E1934" w:rsidRDefault="006A425C" w:rsidP="006A425C">
            <w:pPr>
              <w:jc w:val="center"/>
            </w:pPr>
            <w:r w:rsidRPr="008E1934">
              <w:t>0.037</w:t>
            </w:r>
          </w:p>
        </w:tc>
        <w:tc>
          <w:tcPr>
            <w:tcW w:w="1485" w:type="dxa"/>
            <w:shd w:val="clear" w:color="auto" w:fill="auto"/>
            <w:noWrap/>
            <w:hideMark/>
          </w:tcPr>
          <w:p w14:paraId="0B9783E1" w14:textId="77777777" w:rsidR="006A425C" w:rsidRPr="008E1934" w:rsidRDefault="006A425C" w:rsidP="006A425C">
            <w:pPr>
              <w:jc w:val="center"/>
            </w:pPr>
            <w:r w:rsidRPr="008E1934">
              <w:t>0.037</w:t>
            </w:r>
          </w:p>
        </w:tc>
      </w:tr>
      <w:tr w:rsidR="006A425C" w:rsidRPr="00822FFB" w14:paraId="2500C4C7" w14:textId="77777777" w:rsidTr="006A425C">
        <w:trPr>
          <w:trHeight w:val="300"/>
        </w:trPr>
        <w:tc>
          <w:tcPr>
            <w:tcW w:w="3708" w:type="dxa"/>
            <w:shd w:val="clear" w:color="auto" w:fill="auto"/>
            <w:noWrap/>
            <w:hideMark/>
          </w:tcPr>
          <w:p w14:paraId="130A97F0" w14:textId="77777777" w:rsidR="006A425C" w:rsidRPr="004A74C5" w:rsidRDefault="006A425C" w:rsidP="006A425C">
            <w:r w:rsidRPr="004A74C5">
              <w:t>Durability (w)</w:t>
            </w:r>
          </w:p>
        </w:tc>
        <w:tc>
          <w:tcPr>
            <w:tcW w:w="1352" w:type="dxa"/>
            <w:shd w:val="clear" w:color="auto" w:fill="auto"/>
            <w:noWrap/>
            <w:hideMark/>
          </w:tcPr>
          <w:p w14:paraId="18739015" w14:textId="77777777" w:rsidR="006A425C" w:rsidRPr="008E1934" w:rsidRDefault="006A425C" w:rsidP="006A425C">
            <w:pPr>
              <w:jc w:val="center"/>
            </w:pPr>
            <w:r w:rsidRPr="008E1934">
              <w:t>0.020</w:t>
            </w:r>
          </w:p>
        </w:tc>
        <w:tc>
          <w:tcPr>
            <w:tcW w:w="1485" w:type="dxa"/>
            <w:shd w:val="clear" w:color="auto" w:fill="auto"/>
            <w:noWrap/>
            <w:hideMark/>
          </w:tcPr>
          <w:p w14:paraId="246B2A75" w14:textId="77777777" w:rsidR="006A425C" w:rsidRPr="008E1934" w:rsidRDefault="006A425C" w:rsidP="006A425C">
            <w:pPr>
              <w:jc w:val="center"/>
            </w:pPr>
            <w:r w:rsidRPr="008E1934">
              <w:t>0.020</w:t>
            </w:r>
          </w:p>
        </w:tc>
        <w:tc>
          <w:tcPr>
            <w:tcW w:w="1546" w:type="dxa"/>
            <w:shd w:val="clear" w:color="auto" w:fill="auto"/>
            <w:noWrap/>
            <w:hideMark/>
          </w:tcPr>
          <w:p w14:paraId="3E488027" w14:textId="77777777" w:rsidR="006A425C" w:rsidRPr="008E1934" w:rsidRDefault="006A425C" w:rsidP="006A425C">
            <w:pPr>
              <w:jc w:val="center"/>
            </w:pPr>
            <w:r w:rsidRPr="008E1934">
              <w:t>-0.066</w:t>
            </w:r>
          </w:p>
        </w:tc>
        <w:tc>
          <w:tcPr>
            <w:tcW w:w="1485" w:type="dxa"/>
            <w:shd w:val="clear" w:color="auto" w:fill="auto"/>
            <w:noWrap/>
            <w:hideMark/>
          </w:tcPr>
          <w:p w14:paraId="7E69341A" w14:textId="77777777" w:rsidR="006A425C" w:rsidRPr="008E1934" w:rsidRDefault="006A425C" w:rsidP="006A425C">
            <w:pPr>
              <w:jc w:val="center"/>
            </w:pPr>
            <w:r w:rsidRPr="008E1934">
              <w:t>-0.066</w:t>
            </w:r>
          </w:p>
        </w:tc>
      </w:tr>
      <w:tr w:rsidR="006A425C" w:rsidRPr="00822FFB" w14:paraId="4883553B" w14:textId="77777777" w:rsidTr="006A425C">
        <w:trPr>
          <w:trHeight w:val="300"/>
        </w:trPr>
        <w:tc>
          <w:tcPr>
            <w:tcW w:w="3708" w:type="dxa"/>
            <w:shd w:val="clear" w:color="auto" w:fill="auto"/>
            <w:noWrap/>
            <w:hideMark/>
          </w:tcPr>
          <w:p w14:paraId="2989DF89" w14:textId="77777777" w:rsidR="006A425C" w:rsidRPr="004A74C5" w:rsidRDefault="006A425C" w:rsidP="006A425C">
            <w:r w:rsidRPr="004A74C5">
              <w:t>Corporatism (b)</w:t>
            </w:r>
          </w:p>
        </w:tc>
        <w:tc>
          <w:tcPr>
            <w:tcW w:w="1352" w:type="dxa"/>
            <w:shd w:val="clear" w:color="auto" w:fill="auto"/>
            <w:noWrap/>
            <w:hideMark/>
          </w:tcPr>
          <w:p w14:paraId="29514B0F" w14:textId="77777777" w:rsidR="006A425C" w:rsidRPr="008E1934" w:rsidRDefault="006A425C" w:rsidP="006A425C">
            <w:pPr>
              <w:jc w:val="center"/>
            </w:pPr>
          </w:p>
        </w:tc>
        <w:tc>
          <w:tcPr>
            <w:tcW w:w="1485" w:type="dxa"/>
            <w:shd w:val="clear" w:color="auto" w:fill="auto"/>
            <w:noWrap/>
            <w:hideMark/>
          </w:tcPr>
          <w:p w14:paraId="2EB95272" w14:textId="77777777" w:rsidR="006A425C" w:rsidRPr="008E1934" w:rsidRDefault="006A425C" w:rsidP="006A425C">
            <w:pPr>
              <w:jc w:val="center"/>
            </w:pPr>
          </w:p>
        </w:tc>
        <w:tc>
          <w:tcPr>
            <w:tcW w:w="1546" w:type="dxa"/>
            <w:shd w:val="clear" w:color="auto" w:fill="auto"/>
            <w:noWrap/>
            <w:hideMark/>
          </w:tcPr>
          <w:p w14:paraId="169CAAA5" w14:textId="77777777" w:rsidR="006A425C" w:rsidRPr="008E1934" w:rsidRDefault="006A425C" w:rsidP="006A425C">
            <w:pPr>
              <w:jc w:val="center"/>
            </w:pPr>
            <w:r w:rsidRPr="008E1934">
              <w:t>0.167</w:t>
            </w:r>
          </w:p>
        </w:tc>
        <w:tc>
          <w:tcPr>
            <w:tcW w:w="1485" w:type="dxa"/>
            <w:shd w:val="clear" w:color="auto" w:fill="auto"/>
            <w:noWrap/>
            <w:hideMark/>
          </w:tcPr>
          <w:p w14:paraId="134B3D82" w14:textId="77777777" w:rsidR="006A425C" w:rsidRPr="008E1934" w:rsidRDefault="006A425C" w:rsidP="006A425C">
            <w:pPr>
              <w:jc w:val="center"/>
            </w:pPr>
            <w:r w:rsidRPr="008E1934">
              <w:t>0.167</w:t>
            </w:r>
          </w:p>
        </w:tc>
      </w:tr>
      <w:tr w:rsidR="006A425C" w:rsidRPr="00822FFB" w14:paraId="09067D9F" w14:textId="77777777" w:rsidTr="006A425C">
        <w:trPr>
          <w:trHeight w:val="300"/>
        </w:trPr>
        <w:tc>
          <w:tcPr>
            <w:tcW w:w="3708" w:type="dxa"/>
            <w:shd w:val="clear" w:color="auto" w:fill="auto"/>
            <w:noWrap/>
            <w:hideMark/>
          </w:tcPr>
          <w:p w14:paraId="71698A54" w14:textId="77777777" w:rsidR="006A425C" w:rsidRPr="004A74C5" w:rsidRDefault="006A425C" w:rsidP="006A425C">
            <w:r w:rsidRPr="004A74C5">
              <w:t>Corporatism (w)</w:t>
            </w:r>
          </w:p>
        </w:tc>
        <w:tc>
          <w:tcPr>
            <w:tcW w:w="1352" w:type="dxa"/>
            <w:shd w:val="clear" w:color="auto" w:fill="auto"/>
            <w:noWrap/>
            <w:hideMark/>
          </w:tcPr>
          <w:p w14:paraId="78ECA6CF" w14:textId="77777777" w:rsidR="006A425C" w:rsidRPr="008E1934" w:rsidRDefault="006A425C" w:rsidP="006A425C">
            <w:pPr>
              <w:jc w:val="center"/>
            </w:pPr>
          </w:p>
        </w:tc>
        <w:tc>
          <w:tcPr>
            <w:tcW w:w="1485" w:type="dxa"/>
            <w:shd w:val="clear" w:color="auto" w:fill="auto"/>
            <w:noWrap/>
            <w:hideMark/>
          </w:tcPr>
          <w:p w14:paraId="29C83B6D" w14:textId="77777777" w:rsidR="006A425C" w:rsidRPr="008E1934" w:rsidRDefault="006A425C" w:rsidP="006A425C">
            <w:pPr>
              <w:jc w:val="center"/>
            </w:pPr>
          </w:p>
        </w:tc>
        <w:tc>
          <w:tcPr>
            <w:tcW w:w="1546" w:type="dxa"/>
            <w:shd w:val="clear" w:color="auto" w:fill="auto"/>
            <w:noWrap/>
            <w:hideMark/>
          </w:tcPr>
          <w:p w14:paraId="019C918E" w14:textId="77777777" w:rsidR="006A425C" w:rsidRPr="008E1934" w:rsidRDefault="006A425C" w:rsidP="006A425C">
            <w:pPr>
              <w:jc w:val="center"/>
            </w:pPr>
            <w:r w:rsidRPr="008E1934">
              <w:t>0.049</w:t>
            </w:r>
          </w:p>
        </w:tc>
        <w:tc>
          <w:tcPr>
            <w:tcW w:w="1485" w:type="dxa"/>
            <w:shd w:val="clear" w:color="auto" w:fill="auto"/>
            <w:noWrap/>
            <w:hideMark/>
          </w:tcPr>
          <w:p w14:paraId="6E88969A" w14:textId="77777777" w:rsidR="006A425C" w:rsidRPr="008E1934" w:rsidRDefault="006A425C" w:rsidP="006A425C">
            <w:pPr>
              <w:jc w:val="center"/>
            </w:pPr>
            <w:r w:rsidRPr="008E1934">
              <w:t>0.049</w:t>
            </w:r>
          </w:p>
        </w:tc>
      </w:tr>
      <w:tr w:rsidR="006A425C" w:rsidRPr="00822FFB" w14:paraId="33A90636" w14:textId="77777777" w:rsidTr="006A425C">
        <w:trPr>
          <w:trHeight w:val="300"/>
        </w:trPr>
        <w:tc>
          <w:tcPr>
            <w:tcW w:w="3708" w:type="dxa"/>
            <w:shd w:val="clear" w:color="auto" w:fill="auto"/>
            <w:noWrap/>
          </w:tcPr>
          <w:p w14:paraId="590DFC86" w14:textId="77777777" w:rsidR="006A425C" w:rsidRPr="004A74C5" w:rsidRDefault="006A425C" w:rsidP="006A425C">
            <w:r w:rsidRPr="004A74C5">
              <w:t>Union density (b)</w:t>
            </w:r>
          </w:p>
        </w:tc>
        <w:tc>
          <w:tcPr>
            <w:tcW w:w="1352" w:type="dxa"/>
            <w:shd w:val="clear" w:color="auto" w:fill="auto"/>
            <w:noWrap/>
          </w:tcPr>
          <w:p w14:paraId="089D90A0" w14:textId="77777777" w:rsidR="006A425C" w:rsidRPr="008E1934" w:rsidRDefault="006A425C" w:rsidP="006A425C">
            <w:pPr>
              <w:jc w:val="center"/>
            </w:pPr>
          </w:p>
        </w:tc>
        <w:tc>
          <w:tcPr>
            <w:tcW w:w="1485" w:type="dxa"/>
            <w:shd w:val="clear" w:color="auto" w:fill="auto"/>
            <w:noWrap/>
          </w:tcPr>
          <w:p w14:paraId="1FC20BD7" w14:textId="77777777" w:rsidR="006A425C" w:rsidRPr="008E1934" w:rsidRDefault="006A425C" w:rsidP="006A425C">
            <w:pPr>
              <w:jc w:val="center"/>
            </w:pPr>
          </w:p>
        </w:tc>
        <w:tc>
          <w:tcPr>
            <w:tcW w:w="1546" w:type="dxa"/>
            <w:shd w:val="clear" w:color="auto" w:fill="auto"/>
            <w:noWrap/>
          </w:tcPr>
          <w:p w14:paraId="724CF60B" w14:textId="77777777" w:rsidR="006A425C" w:rsidRPr="008E1934" w:rsidRDefault="006A425C" w:rsidP="006A425C">
            <w:pPr>
              <w:jc w:val="center"/>
            </w:pPr>
            <w:r w:rsidRPr="008E1934">
              <w:t>0.393</w:t>
            </w:r>
          </w:p>
        </w:tc>
        <w:tc>
          <w:tcPr>
            <w:tcW w:w="1485" w:type="dxa"/>
            <w:shd w:val="clear" w:color="auto" w:fill="auto"/>
            <w:noWrap/>
          </w:tcPr>
          <w:p w14:paraId="0D87F404" w14:textId="77777777" w:rsidR="006A425C" w:rsidRPr="008E1934" w:rsidRDefault="006A425C" w:rsidP="006A425C">
            <w:pPr>
              <w:jc w:val="center"/>
            </w:pPr>
            <w:r w:rsidRPr="008E1934">
              <w:t>0.393</w:t>
            </w:r>
          </w:p>
        </w:tc>
      </w:tr>
      <w:tr w:rsidR="006A425C" w:rsidRPr="00822FFB" w14:paraId="5D0B6B8E" w14:textId="77777777" w:rsidTr="006A425C">
        <w:trPr>
          <w:trHeight w:val="300"/>
        </w:trPr>
        <w:tc>
          <w:tcPr>
            <w:tcW w:w="3708" w:type="dxa"/>
            <w:shd w:val="clear" w:color="auto" w:fill="auto"/>
            <w:noWrap/>
          </w:tcPr>
          <w:p w14:paraId="76600767" w14:textId="77777777" w:rsidR="006A425C" w:rsidRDefault="006A425C" w:rsidP="006A425C">
            <w:r w:rsidRPr="004A74C5">
              <w:t>Union density (w)</w:t>
            </w:r>
          </w:p>
        </w:tc>
        <w:tc>
          <w:tcPr>
            <w:tcW w:w="1352" w:type="dxa"/>
            <w:shd w:val="clear" w:color="auto" w:fill="auto"/>
            <w:noWrap/>
          </w:tcPr>
          <w:p w14:paraId="5D08E6B0" w14:textId="77777777" w:rsidR="006A425C" w:rsidRPr="008E1934" w:rsidRDefault="006A425C" w:rsidP="006A425C">
            <w:pPr>
              <w:jc w:val="center"/>
            </w:pPr>
          </w:p>
        </w:tc>
        <w:tc>
          <w:tcPr>
            <w:tcW w:w="1485" w:type="dxa"/>
            <w:shd w:val="clear" w:color="auto" w:fill="auto"/>
            <w:noWrap/>
          </w:tcPr>
          <w:p w14:paraId="3986D9E9" w14:textId="77777777" w:rsidR="006A425C" w:rsidRPr="008E1934" w:rsidRDefault="006A425C" w:rsidP="006A425C">
            <w:pPr>
              <w:jc w:val="center"/>
            </w:pPr>
          </w:p>
        </w:tc>
        <w:tc>
          <w:tcPr>
            <w:tcW w:w="1546" w:type="dxa"/>
            <w:shd w:val="clear" w:color="auto" w:fill="auto"/>
            <w:noWrap/>
          </w:tcPr>
          <w:p w14:paraId="05628FAC" w14:textId="77777777" w:rsidR="006A425C" w:rsidRPr="008E1934" w:rsidRDefault="006A425C" w:rsidP="006A425C">
            <w:pPr>
              <w:jc w:val="center"/>
            </w:pPr>
            <w:r w:rsidRPr="008E1934">
              <w:t>0.076</w:t>
            </w:r>
          </w:p>
        </w:tc>
        <w:tc>
          <w:tcPr>
            <w:tcW w:w="1485" w:type="dxa"/>
            <w:shd w:val="clear" w:color="auto" w:fill="auto"/>
            <w:noWrap/>
          </w:tcPr>
          <w:p w14:paraId="312E6CA9" w14:textId="77777777" w:rsidR="006A425C" w:rsidRPr="008E1934" w:rsidRDefault="006A425C" w:rsidP="006A425C">
            <w:pPr>
              <w:jc w:val="center"/>
            </w:pPr>
            <w:r w:rsidRPr="008E1934">
              <w:t>0.076</w:t>
            </w:r>
          </w:p>
        </w:tc>
      </w:tr>
      <w:tr w:rsidR="006A425C" w:rsidRPr="00822FFB" w14:paraId="6B2053E4" w14:textId="77777777" w:rsidTr="006A425C">
        <w:trPr>
          <w:trHeight w:val="300"/>
        </w:trPr>
        <w:tc>
          <w:tcPr>
            <w:tcW w:w="3708" w:type="dxa"/>
            <w:shd w:val="clear" w:color="auto" w:fill="auto"/>
            <w:noWrap/>
            <w:vAlign w:val="bottom"/>
            <w:hideMark/>
          </w:tcPr>
          <w:p w14:paraId="1A2A1076" w14:textId="77777777" w:rsidR="006A425C" w:rsidRPr="00CA1CEC" w:rsidRDefault="006A425C" w:rsidP="006A425C">
            <w:pPr>
              <w:rPr>
                <w:color w:val="000000"/>
              </w:rPr>
            </w:pPr>
            <w:r>
              <w:rPr>
                <w:color w:val="000000"/>
              </w:rPr>
              <w:t>observations</w:t>
            </w:r>
          </w:p>
        </w:tc>
        <w:tc>
          <w:tcPr>
            <w:tcW w:w="1352" w:type="dxa"/>
            <w:shd w:val="clear" w:color="auto" w:fill="auto"/>
            <w:noWrap/>
            <w:hideMark/>
          </w:tcPr>
          <w:p w14:paraId="5AC64B98" w14:textId="77777777" w:rsidR="006A425C" w:rsidRPr="008E1934" w:rsidRDefault="006A425C" w:rsidP="006A425C">
            <w:pPr>
              <w:jc w:val="center"/>
            </w:pPr>
            <w:r w:rsidRPr="008E1934">
              <w:t>1,126</w:t>
            </w:r>
          </w:p>
        </w:tc>
        <w:tc>
          <w:tcPr>
            <w:tcW w:w="1485" w:type="dxa"/>
            <w:shd w:val="clear" w:color="auto" w:fill="auto"/>
            <w:noWrap/>
            <w:hideMark/>
          </w:tcPr>
          <w:p w14:paraId="044EE010" w14:textId="77777777" w:rsidR="006A425C" w:rsidRPr="008E1934" w:rsidRDefault="006A425C" w:rsidP="006A425C">
            <w:pPr>
              <w:jc w:val="center"/>
            </w:pPr>
            <w:r w:rsidRPr="008E1934">
              <w:t>1,126</w:t>
            </w:r>
          </w:p>
        </w:tc>
        <w:tc>
          <w:tcPr>
            <w:tcW w:w="1546" w:type="dxa"/>
            <w:shd w:val="clear" w:color="auto" w:fill="auto"/>
            <w:noWrap/>
            <w:hideMark/>
          </w:tcPr>
          <w:p w14:paraId="60F6711F" w14:textId="77777777" w:rsidR="006A425C" w:rsidRPr="008E1934" w:rsidRDefault="006A425C" w:rsidP="006A425C">
            <w:pPr>
              <w:jc w:val="center"/>
            </w:pPr>
            <w:r w:rsidRPr="008E1934">
              <w:t>666</w:t>
            </w:r>
          </w:p>
        </w:tc>
        <w:tc>
          <w:tcPr>
            <w:tcW w:w="1485" w:type="dxa"/>
            <w:shd w:val="clear" w:color="auto" w:fill="auto"/>
            <w:noWrap/>
            <w:hideMark/>
          </w:tcPr>
          <w:p w14:paraId="695E8BA6" w14:textId="77777777" w:rsidR="006A425C" w:rsidRPr="008E1934" w:rsidRDefault="006A425C" w:rsidP="006A425C">
            <w:pPr>
              <w:jc w:val="center"/>
            </w:pPr>
            <w:r w:rsidRPr="008E1934">
              <w:t>666</w:t>
            </w:r>
          </w:p>
        </w:tc>
      </w:tr>
      <w:tr w:rsidR="006A425C" w:rsidRPr="00822FFB" w14:paraId="27307B5F" w14:textId="77777777" w:rsidTr="006A425C">
        <w:trPr>
          <w:trHeight w:val="300"/>
        </w:trPr>
        <w:tc>
          <w:tcPr>
            <w:tcW w:w="3708" w:type="dxa"/>
            <w:shd w:val="clear" w:color="auto" w:fill="auto"/>
            <w:noWrap/>
            <w:vAlign w:val="bottom"/>
            <w:hideMark/>
          </w:tcPr>
          <w:p w14:paraId="523F43F1" w14:textId="77777777" w:rsidR="006A425C" w:rsidRPr="00CA1CEC" w:rsidRDefault="006A425C" w:rsidP="006A425C">
            <w:pPr>
              <w:rPr>
                <w:color w:val="000000"/>
              </w:rPr>
            </w:pPr>
            <w:r>
              <w:rPr>
                <w:color w:val="000000"/>
              </w:rPr>
              <w:t xml:space="preserve">Number of countries </w:t>
            </w:r>
          </w:p>
        </w:tc>
        <w:tc>
          <w:tcPr>
            <w:tcW w:w="1352" w:type="dxa"/>
            <w:shd w:val="clear" w:color="auto" w:fill="auto"/>
            <w:noWrap/>
            <w:hideMark/>
          </w:tcPr>
          <w:p w14:paraId="601E66F7" w14:textId="77777777" w:rsidR="006A425C" w:rsidRPr="008E1934" w:rsidRDefault="006A425C" w:rsidP="006A425C">
            <w:pPr>
              <w:jc w:val="center"/>
            </w:pPr>
            <w:r w:rsidRPr="008E1934">
              <w:t>58</w:t>
            </w:r>
          </w:p>
        </w:tc>
        <w:tc>
          <w:tcPr>
            <w:tcW w:w="1485" w:type="dxa"/>
            <w:shd w:val="clear" w:color="auto" w:fill="auto"/>
            <w:noWrap/>
            <w:hideMark/>
          </w:tcPr>
          <w:p w14:paraId="0960F996" w14:textId="77777777" w:rsidR="006A425C" w:rsidRPr="008E1934" w:rsidRDefault="006A425C" w:rsidP="006A425C">
            <w:pPr>
              <w:jc w:val="center"/>
            </w:pPr>
            <w:r w:rsidRPr="008E1934">
              <w:t>58</w:t>
            </w:r>
          </w:p>
        </w:tc>
        <w:tc>
          <w:tcPr>
            <w:tcW w:w="1546" w:type="dxa"/>
            <w:shd w:val="clear" w:color="auto" w:fill="auto"/>
            <w:noWrap/>
            <w:hideMark/>
          </w:tcPr>
          <w:p w14:paraId="68539986" w14:textId="77777777" w:rsidR="006A425C" w:rsidRPr="008E1934" w:rsidRDefault="006A425C" w:rsidP="006A425C">
            <w:pPr>
              <w:jc w:val="center"/>
            </w:pPr>
            <w:r w:rsidRPr="008E1934">
              <w:t>40</w:t>
            </w:r>
          </w:p>
        </w:tc>
        <w:tc>
          <w:tcPr>
            <w:tcW w:w="1485" w:type="dxa"/>
            <w:shd w:val="clear" w:color="auto" w:fill="auto"/>
            <w:noWrap/>
            <w:hideMark/>
          </w:tcPr>
          <w:p w14:paraId="6A35A60F" w14:textId="77777777" w:rsidR="006A425C" w:rsidRPr="008E1934" w:rsidRDefault="006A425C" w:rsidP="006A425C">
            <w:pPr>
              <w:jc w:val="center"/>
            </w:pPr>
            <w:r w:rsidRPr="008E1934">
              <w:t>40</w:t>
            </w:r>
          </w:p>
        </w:tc>
      </w:tr>
      <w:tr w:rsidR="006A425C" w:rsidRPr="00822FFB" w14:paraId="4EA747BD" w14:textId="77777777" w:rsidTr="006A425C">
        <w:trPr>
          <w:trHeight w:val="300"/>
        </w:trPr>
        <w:tc>
          <w:tcPr>
            <w:tcW w:w="3708" w:type="dxa"/>
            <w:shd w:val="clear" w:color="auto" w:fill="auto"/>
            <w:noWrap/>
            <w:vAlign w:val="bottom"/>
            <w:hideMark/>
          </w:tcPr>
          <w:p w14:paraId="09F9B0E6" w14:textId="77777777" w:rsidR="006A425C" w:rsidRPr="00CA1CEC" w:rsidRDefault="00101683" w:rsidP="006A425C">
            <w:pPr>
              <w:rPr>
                <w:color w:val="000000"/>
              </w:rPr>
            </w:pPr>
            <m:oMath>
              <m:sSup>
                <m:sSupPr>
                  <m:ctrlPr>
                    <w:rPr>
                      <w:rFonts w:ascii="Cambria Math" w:hAnsi="Cambria Math"/>
                      <w:i/>
                    </w:rPr>
                  </m:ctrlPr>
                </m:sSupPr>
                <m:e>
                  <m:r>
                    <m:rPr>
                      <m:sty m:val="p"/>
                    </m:rPr>
                    <w:rPr>
                      <w:rFonts w:ascii="Cambria Math" w:hAnsi="Cambria Math" w:hint="eastAsia"/>
                    </w:rPr>
                    <m:t>R</m:t>
                  </m:r>
                </m:e>
                <m:sup>
                  <m:r>
                    <w:rPr>
                      <w:rFonts w:ascii="Cambria Math" w:hAnsi="Cambria Math" w:hint="eastAsia"/>
                    </w:rPr>
                    <m:t>2</m:t>
                  </m:r>
                </m:sup>
              </m:sSup>
            </m:oMath>
            <w:r w:rsidR="006A425C">
              <w:rPr>
                <w:color w:val="000000"/>
              </w:rPr>
              <w:t xml:space="preserve"> within</w:t>
            </w:r>
          </w:p>
        </w:tc>
        <w:tc>
          <w:tcPr>
            <w:tcW w:w="1352" w:type="dxa"/>
            <w:shd w:val="clear" w:color="auto" w:fill="auto"/>
            <w:noWrap/>
            <w:hideMark/>
          </w:tcPr>
          <w:p w14:paraId="4B0422AC" w14:textId="77777777" w:rsidR="006A425C" w:rsidRPr="008E1934" w:rsidRDefault="006A425C" w:rsidP="006A425C">
            <w:pPr>
              <w:jc w:val="center"/>
            </w:pPr>
            <w:r w:rsidRPr="008E1934">
              <w:t>0.8805</w:t>
            </w:r>
          </w:p>
        </w:tc>
        <w:tc>
          <w:tcPr>
            <w:tcW w:w="1485" w:type="dxa"/>
            <w:shd w:val="clear" w:color="auto" w:fill="auto"/>
            <w:noWrap/>
            <w:hideMark/>
          </w:tcPr>
          <w:p w14:paraId="78B30662" w14:textId="77777777" w:rsidR="006A425C" w:rsidRPr="008E1934" w:rsidRDefault="006A425C" w:rsidP="006A425C">
            <w:pPr>
              <w:jc w:val="center"/>
            </w:pPr>
            <w:r w:rsidRPr="008E1934">
              <w:t>0.8805</w:t>
            </w:r>
          </w:p>
        </w:tc>
        <w:tc>
          <w:tcPr>
            <w:tcW w:w="1546" w:type="dxa"/>
            <w:shd w:val="clear" w:color="auto" w:fill="auto"/>
            <w:noWrap/>
            <w:hideMark/>
          </w:tcPr>
          <w:p w14:paraId="0708DF02" w14:textId="77777777" w:rsidR="006A425C" w:rsidRPr="008E1934" w:rsidRDefault="006A425C" w:rsidP="006A425C">
            <w:pPr>
              <w:jc w:val="center"/>
            </w:pPr>
            <w:r w:rsidRPr="008E1934">
              <w:t>0.9034</w:t>
            </w:r>
          </w:p>
        </w:tc>
        <w:tc>
          <w:tcPr>
            <w:tcW w:w="1485" w:type="dxa"/>
            <w:shd w:val="clear" w:color="auto" w:fill="auto"/>
            <w:noWrap/>
            <w:hideMark/>
          </w:tcPr>
          <w:p w14:paraId="7A5FF783" w14:textId="77777777" w:rsidR="006A425C" w:rsidRPr="008E1934" w:rsidRDefault="006A425C" w:rsidP="006A425C">
            <w:pPr>
              <w:jc w:val="center"/>
            </w:pPr>
            <w:r w:rsidRPr="008E1934">
              <w:t>0.9034</w:t>
            </w:r>
          </w:p>
        </w:tc>
      </w:tr>
      <w:tr w:rsidR="006A425C" w:rsidRPr="00822FFB" w14:paraId="047D9F11" w14:textId="77777777" w:rsidTr="006A425C">
        <w:trPr>
          <w:trHeight w:val="300"/>
        </w:trPr>
        <w:tc>
          <w:tcPr>
            <w:tcW w:w="3708" w:type="dxa"/>
            <w:shd w:val="clear" w:color="auto" w:fill="auto"/>
            <w:noWrap/>
            <w:vAlign w:val="bottom"/>
            <w:hideMark/>
          </w:tcPr>
          <w:p w14:paraId="0277EDEA" w14:textId="77777777" w:rsidR="006A425C" w:rsidRPr="00CA1CEC" w:rsidRDefault="00101683" w:rsidP="006A425C">
            <w:pPr>
              <w:rPr>
                <w:color w:val="000000"/>
              </w:rPr>
            </w:pPr>
            <m:oMath>
              <m:sSup>
                <m:sSupPr>
                  <m:ctrlPr>
                    <w:rPr>
                      <w:rFonts w:ascii="Cambria Math" w:hAnsi="Cambria Math"/>
                      <w:i/>
                    </w:rPr>
                  </m:ctrlPr>
                </m:sSupPr>
                <m:e>
                  <m:r>
                    <m:rPr>
                      <m:sty m:val="p"/>
                    </m:rPr>
                    <w:rPr>
                      <w:rFonts w:ascii="Cambria Math" w:hAnsi="Cambria Math" w:hint="eastAsia"/>
                    </w:rPr>
                    <m:t>R</m:t>
                  </m:r>
                </m:e>
                <m:sup>
                  <m:r>
                    <w:rPr>
                      <w:rFonts w:ascii="Cambria Math" w:hAnsi="Cambria Math" w:hint="eastAsia"/>
                    </w:rPr>
                    <m:t>2</m:t>
                  </m:r>
                </m:sup>
              </m:sSup>
            </m:oMath>
            <w:r w:rsidR="006A425C">
              <w:rPr>
                <w:color w:val="000000"/>
              </w:rPr>
              <w:t xml:space="preserve"> between</w:t>
            </w:r>
          </w:p>
        </w:tc>
        <w:tc>
          <w:tcPr>
            <w:tcW w:w="1352" w:type="dxa"/>
            <w:shd w:val="clear" w:color="auto" w:fill="auto"/>
            <w:noWrap/>
            <w:hideMark/>
          </w:tcPr>
          <w:p w14:paraId="4DEECBBA" w14:textId="77777777" w:rsidR="006A425C" w:rsidRPr="008E1934" w:rsidRDefault="006A425C" w:rsidP="006A425C">
            <w:pPr>
              <w:jc w:val="center"/>
            </w:pPr>
            <w:r w:rsidRPr="008E1934">
              <w:t>0.8516</w:t>
            </w:r>
          </w:p>
        </w:tc>
        <w:tc>
          <w:tcPr>
            <w:tcW w:w="1485" w:type="dxa"/>
            <w:shd w:val="clear" w:color="auto" w:fill="auto"/>
            <w:noWrap/>
            <w:hideMark/>
          </w:tcPr>
          <w:p w14:paraId="5D0A6E5F" w14:textId="77777777" w:rsidR="006A425C" w:rsidRPr="008E1934" w:rsidRDefault="006A425C" w:rsidP="006A425C">
            <w:pPr>
              <w:jc w:val="center"/>
            </w:pPr>
            <w:r w:rsidRPr="008E1934">
              <w:t>0.8516</w:t>
            </w:r>
          </w:p>
        </w:tc>
        <w:tc>
          <w:tcPr>
            <w:tcW w:w="1546" w:type="dxa"/>
            <w:shd w:val="clear" w:color="auto" w:fill="auto"/>
            <w:noWrap/>
            <w:hideMark/>
          </w:tcPr>
          <w:p w14:paraId="74390E25" w14:textId="77777777" w:rsidR="006A425C" w:rsidRPr="008E1934" w:rsidRDefault="006A425C" w:rsidP="006A425C">
            <w:pPr>
              <w:jc w:val="center"/>
            </w:pPr>
            <w:r w:rsidRPr="008E1934">
              <w:t>0.8314</w:t>
            </w:r>
          </w:p>
        </w:tc>
        <w:tc>
          <w:tcPr>
            <w:tcW w:w="1485" w:type="dxa"/>
            <w:shd w:val="clear" w:color="auto" w:fill="auto"/>
            <w:noWrap/>
            <w:hideMark/>
          </w:tcPr>
          <w:p w14:paraId="4BE0A743" w14:textId="77777777" w:rsidR="006A425C" w:rsidRPr="008E1934" w:rsidRDefault="006A425C" w:rsidP="006A425C">
            <w:pPr>
              <w:jc w:val="center"/>
            </w:pPr>
            <w:r w:rsidRPr="008E1934">
              <w:t>0.8314</w:t>
            </w:r>
          </w:p>
        </w:tc>
      </w:tr>
      <w:tr w:rsidR="006A425C" w:rsidRPr="00822FFB" w14:paraId="1880847C" w14:textId="77777777" w:rsidTr="006A425C">
        <w:trPr>
          <w:trHeight w:val="300"/>
        </w:trPr>
        <w:tc>
          <w:tcPr>
            <w:tcW w:w="3708" w:type="dxa"/>
            <w:shd w:val="clear" w:color="auto" w:fill="auto"/>
            <w:noWrap/>
            <w:vAlign w:val="bottom"/>
            <w:hideMark/>
          </w:tcPr>
          <w:p w14:paraId="624C0DF7" w14:textId="77777777" w:rsidR="006A425C" w:rsidRPr="00CA1CEC" w:rsidRDefault="00101683" w:rsidP="006A425C">
            <w:pPr>
              <w:rPr>
                <w:color w:val="000000"/>
              </w:rPr>
            </w:pPr>
            <m:oMath>
              <m:sSup>
                <m:sSupPr>
                  <m:ctrlPr>
                    <w:rPr>
                      <w:rFonts w:ascii="Cambria Math" w:hAnsi="Cambria Math"/>
                      <w:i/>
                    </w:rPr>
                  </m:ctrlPr>
                </m:sSupPr>
                <m:e>
                  <m:r>
                    <m:rPr>
                      <m:sty m:val="p"/>
                    </m:rPr>
                    <w:rPr>
                      <w:rFonts w:ascii="Cambria Math" w:hAnsi="Cambria Math" w:hint="eastAsia"/>
                    </w:rPr>
                    <m:t>R</m:t>
                  </m:r>
                </m:e>
                <m:sup>
                  <m:r>
                    <w:rPr>
                      <w:rFonts w:ascii="Cambria Math" w:hAnsi="Cambria Math" w:hint="eastAsia"/>
                    </w:rPr>
                    <m:t>2</m:t>
                  </m:r>
                </m:sup>
              </m:sSup>
            </m:oMath>
            <w:r w:rsidR="006A425C">
              <w:rPr>
                <w:color w:val="000000"/>
              </w:rPr>
              <w:t xml:space="preserve"> overall</w:t>
            </w:r>
          </w:p>
        </w:tc>
        <w:tc>
          <w:tcPr>
            <w:tcW w:w="1352" w:type="dxa"/>
            <w:shd w:val="clear" w:color="auto" w:fill="auto"/>
            <w:noWrap/>
            <w:hideMark/>
          </w:tcPr>
          <w:p w14:paraId="1AC09ED0" w14:textId="77777777" w:rsidR="006A425C" w:rsidRPr="008E1934" w:rsidRDefault="006A425C" w:rsidP="006A425C">
            <w:pPr>
              <w:jc w:val="center"/>
            </w:pPr>
            <w:r w:rsidRPr="008E1934">
              <w:t>0.871</w:t>
            </w:r>
          </w:p>
        </w:tc>
        <w:tc>
          <w:tcPr>
            <w:tcW w:w="1485" w:type="dxa"/>
            <w:shd w:val="clear" w:color="auto" w:fill="auto"/>
            <w:noWrap/>
            <w:hideMark/>
          </w:tcPr>
          <w:p w14:paraId="6A99627C" w14:textId="77777777" w:rsidR="006A425C" w:rsidRPr="008E1934" w:rsidRDefault="006A425C" w:rsidP="006A425C">
            <w:pPr>
              <w:jc w:val="center"/>
            </w:pPr>
            <w:r w:rsidRPr="008E1934">
              <w:t>0.871</w:t>
            </w:r>
          </w:p>
        </w:tc>
        <w:tc>
          <w:tcPr>
            <w:tcW w:w="1546" w:type="dxa"/>
            <w:shd w:val="clear" w:color="auto" w:fill="auto"/>
            <w:noWrap/>
            <w:hideMark/>
          </w:tcPr>
          <w:p w14:paraId="19640F7B" w14:textId="77777777" w:rsidR="006A425C" w:rsidRPr="008E1934" w:rsidRDefault="006A425C" w:rsidP="006A425C">
            <w:pPr>
              <w:jc w:val="center"/>
            </w:pPr>
            <w:r w:rsidRPr="008E1934">
              <w:t>0.8273</w:t>
            </w:r>
          </w:p>
        </w:tc>
        <w:tc>
          <w:tcPr>
            <w:tcW w:w="1485" w:type="dxa"/>
            <w:shd w:val="clear" w:color="auto" w:fill="auto"/>
            <w:noWrap/>
            <w:hideMark/>
          </w:tcPr>
          <w:p w14:paraId="2EB2B2C2" w14:textId="77777777" w:rsidR="006A425C" w:rsidRDefault="006A425C" w:rsidP="006A425C">
            <w:pPr>
              <w:jc w:val="center"/>
            </w:pPr>
            <w:r w:rsidRPr="008E1934">
              <w:t>0.8273</w:t>
            </w:r>
          </w:p>
        </w:tc>
      </w:tr>
    </w:tbl>
    <w:p w14:paraId="156751E1" w14:textId="236AF136" w:rsidR="002D7707" w:rsidRPr="004E7FED" w:rsidRDefault="002D7707" w:rsidP="00843CB9">
      <w:r>
        <w:t xml:space="preserve">Note: </w:t>
      </w:r>
      <w:r w:rsidRPr="00843CB9">
        <w:t>* p&lt;0.05; ** p&lt;0.01; *** p&lt;0.001</w:t>
      </w:r>
      <w:r>
        <w:t xml:space="preserve">. (b) refers to between cluster effects, (w) to their within cluster counterparts. </w:t>
      </w:r>
      <w:r w:rsidR="00F15C74">
        <w:t>We report s</w:t>
      </w:r>
      <w:r>
        <w:t xml:space="preserve">tandardized coefficients </w:t>
      </w:r>
      <w:r w:rsidR="00F15C74">
        <w:t>but omit</w:t>
      </w:r>
      <w:r>
        <w:t xml:space="preserve"> standard errors due to space constraints. The number of observations, coefficients of co-determination, and significance levels do not change if </w:t>
      </w:r>
      <w:r w:rsidR="00F15C74">
        <w:t xml:space="preserve">we use </w:t>
      </w:r>
      <w:r>
        <w:t>unstandardized coefficients instead.</w:t>
      </w:r>
    </w:p>
    <w:p w14:paraId="37BCED7F" w14:textId="77777777" w:rsidR="002D7707" w:rsidRDefault="002D7707" w:rsidP="00843CB9"/>
    <w:p w14:paraId="65EFE2EC" w14:textId="169B7376" w:rsidR="002D7707" w:rsidRPr="00BA6C64" w:rsidRDefault="002D7707" w:rsidP="00BD2B9F">
      <w:pPr>
        <w:spacing w:line="480" w:lineRule="auto"/>
        <w:jc w:val="both"/>
      </w:pPr>
      <w:r>
        <w:tab/>
        <w:t xml:space="preserve">As expected, </w:t>
      </w:r>
      <w:r w:rsidRPr="008A6BE7">
        <w:rPr>
          <w:i/>
        </w:rPr>
        <w:t>ethnic fractionalization</w:t>
      </w:r>
      <w:r>
        <w:t xml:space="preserve"> is significantly associated with lower levels of redistribution while levels of </w:t>
      </w:r>
      <w:r w:rsidR="00DB1A9B">
        <w:t>dependent populations</w:t>
      </w:r>
      <w:r w:rsidR="007226B6">
        <w:t xml:space="preserve">, </w:t>
      </w:r>
      <w:r w:rsidR="007226B6">
        <w:rPr>
          <w:i/>
        </w:rPr>
        <w:t>female labor force participation</w:t>
      </w:r>
      <w:r>
        <w:t xml:space="preserve"> and (to a lesser degree) </w:t>
      </w:r>
      <w:r w:rsidR="00DB1A9B" w:rsidRPr="007226B6">
        <w:rPr>
          <w:i/>
        </w:rPr>
        <w:t>economic development</w:t>
      </w:r>
      <w:r>
        <w:rPr>
          <w:i/>
        </w:rPr>
        <w:t xml:space="preserve"> </w:t>
      </w:r>
      <w:r>
        <w:t xml:space="preserve">emerge as strong guarantors of welfare generosity. </w:t>
      </w:r>
      <w:r w:rsidR="007226B6">
        <w:t>L</w:t>
      </w:r>
      <w:r w:rsidRPr="008A6BE7">
        <w:rPr>
          <w:i/>
        </w:rPr>
        <w:t>eft executive</w:t>
      </w:r>
      <w:r>
        <w:t xml:space="preserve">, although exhibiting the expected direction in its effect, is not </w:t>
      </w:r>
      <w:r w:rsidR="00DB1A9B">
        <w:t>significantly associated with increases in redistribution when union density and corporatism are included in the analysis (Rueda 2008)</w:t>
      </w:r>
      <w:r>
        <w:t xml:space="preserve">. </w:t>
      </w:r>
      <w:r w:rsidRPr="008A6BE7">
        <w:rPr>
          <w:i/>
        </w:rPr>
        <w:t>Market inequality</w:t>
      </w:r>
      <w:r>
        <w:t xml:space="preserve"> (in levels) is significantly and positively associated with higher </w:t>
      </w:r>
      <w:r>
        <w:lastRenderedPageBreak/>
        <w:t>levels of redistribution.</w:t>
      </w:r>
      <w:r w:rsidR="00E66941">
        <w:rPr>
          <w:rStyle w:val="FootnoteReference"/>
        </w:rPr>
        <w:footnoteReference w:id="26"/>
      </w:r>
      <w:r>
        <w:t xml:space="preserve"> On a final note, the models explain most of the variation in redistribution – particularly within countries – judging by the three coefficients of codetermination (</w:t>
      </w:r>
      <w:r w:rsidRPr="00BD2B9F">
        <w:t xml:space="preserve">or </w:t>
      </w:r>
      <m:oMath>
        <m:sSup>
          <m:sSupPr>
            <m:ctrlPr>
              <w:rPr>
                <w:rFonts w:ascii="Cambria Math" w:hAnsi="Cambria Math"/>
                <w:i/>
              </w:rPr>
            </m:ctrlPr>
          </m:sSupPr>
          <m:e>
            <m:r>
              <m:rPr>
                <m:sty m:val="p"/>
              </m:rPr>
              <w:rPr>
                <w:rFonts w:ascii="Cambria Math" w:hAnsi="Cambria Math" w:hint="eastAsia"/>
              </w:rPr>
              <m:t>R</m:t>
            </m:r>
          </m:e>
          <m:sup>
            <m:r>
              <w:rPr>
                <w:rFonts w:ascii="Cambria Math" w:hAnsi="Cambria Math" w:hint="eastAsia"/>
              </w:rPr>
              <m:t>2</m:t>
            </m:r>
          </m:sup>
        </m:sSup>
      </m:oMath>
      <w:r w:rsidRPr="00BD2B9F">
        <w:t>)</w:t>
      </w:r>
      <w:r>
        <w:t xml:space="preserve">: within, between and overall. </w:t>
      </w:r>
    </w:p>
    <w:p w14:paraId="3EE16402" w14:textId="77777777" w:rsidR="002D7707" w:rsidRPr="00BD2B9F" w:rsidRDefault="002D7707" w:rsidP="00F54E13">
      <w:pPr>
        <w:spacing w:line="480" w:lineRule="auto"/>
        <w:jc w:val="both"/>
      </w:pPr>
      <w:r>
        <w:tab/>
      </w:r>
      <w:r w:rsidRPr="00BD2B9F">
        <w:t xml:space="preserve">Moving on to the IV-GMM estimation in Table </w:t>
      </w:r>
      <w:r w:rsidR="00FC2FA6">
        <w:t>2</w:t>
      </w:r>
      <w:r w:rsidRPr="00BD2B9F">
        <w:t xml:space="preserve">, we discuss first results for the first stage of the analysis, the model of </w:t>
      </w:r>
      <w:r w:rsidRPr="00627B0D">
        <w:rPr>
          <w:i/>
        </w:rPr>
        <w:t>market inequality</w:t>
      </w:r>
      <w:r w:rsidRPr="00BD2B9F">
        <w:t xml:space="preserve">. </w:t>
      </w:r>
      <w:r w:rsidRPr="009744F7">
        <w:t>A</w:t>
      </w:r>
      <w:r>
        <w:t xml:space="preserve">ll three lags of </w:t>
      </w:r>
      <w:r>
        <w:rPr>
          <w:i/>
        </w:rPr>
        <w:t>redistribution</w:t>
      </w:r>
      <w:r>
        <w:t xml:space="preserve"> affect market inequality significantly</w:t>
      </w:r>
      <w:r w:rsidRPr="00BD2B9F">
        <w:t xml:space="preserve">, the first </w:t>
      </w:r>
      <w:r>
        <w:t>one positively so</w:t>
      </w:r>
      <w:r w:rsidRPr="00BD2B9F">
        <w:t xml:space="preserve">. The included exogenous variables mostly affect </w:t>
      </w:r>
      <w:r w:rsidRPr="00BD2B9F">
        <w:rPr>
          <w:i/>
        </w:rPr>
        <w:t>market inequality</w:t>
      </w:r>
      <w:r w:rsidRPr="00BD2B9F">
        <w:t xml:space="preserve"> in the way we would expect, with </w:t>
      </w:r>
      <w:r>
        <w:rPr>
          <w:i/>
        </w:rPr>
        <w:t xml:space="preserve">corporatism </w:t>
      </w:r>
      <w:r w:rsidRPr="009744F7">
        <w:t>and</w:t>
      </w:r>
      <w:r>
        <w:rPr>
          <w:i/>
        </w:rPr>
        <w:t xml:space="preserve"> female labor force participation</w:t>
      </w:r>
      <w:r>
        <w:t xml:space="preserve"> dr</w:t>
      </w:r>
      <w:r w:rsidRPr="00BD2B9F">
        <w:t xml:space="preserve">iving down gaps in market income, and </w:t>
      </w:r>
      <w:r w:rsidRPr="00BD2B9F">
        <w:rPr>
          <w:i/>
        </w:rPr>
        <w:t>lagged unemployment</w:t>
      </w:r>
      <w:r w:rsidRPr="00BD2B9F">
        <w:t xml:space="preserve">, </w:t>
      </w:r>
      <w:r w:rsidRPr="00BD2B9F">
        <w:rPr>
          <w:i/>
        </w:rPr>
        <w:t>economic development</w:t>
      </w:r>
      <w:r w:rsidRPr="00BD2B9F">
        <w:t xml:space="preserve">, and the </w:t>
      </w:r>
      <w:r w:rsidRPr="00BD2B9F">
        <w:rPr>
          <w:i/>
        </w:rPr>
        <w:t>age dependency ratio</w:t>
      </w:r>
      <w:r w:rsidRPr="00BD2B9F">
        <w:t xml:space="preserve"> significantly increasing those gaps.  </w:t>
      </w:r>
    </w:p>
    <w:p w14:paraId="67C66642" w14:textId="77777777" w:rsidR="002D7707" w:rsidRPr="00BD2B9F" w:rsidRDefault="002D7707" w:rsidP="00D90750"/>
    <w:p w14:paraId="414DE165" w14:textId="77777777" w:rsidR="002D7707" w:rsidRPr="00BD2B9F" w:rsidRDefault="002D7707" w:rsidP="004553EE">
      <w:r w:rsidRPr="00BD2B9F">
        <w:t xml:space="preserve">Table </w:t>
      </w:r>
      <w:r w:rsidR="00FC2FA6">
        <w:t>2</w:t>
      </w:r>
      <w:r w:rsidRPr="00BD2B9F">
        <w:t>. IV-GMM models of the d</w:t>
      </w:r>
      <w:r w:rsidRPr="00BD2B9F">
        <w:rPr>
          <w:rFonts w:eastAsia="Times New Roman"/>
        </w:rPr>
        <w:t>eterminants of redistribution, 199</w:t>
      </w:r>
      <w:r>
        <w:rPr>
          <w:rFonts w:eastAsia="Times New Roman"/>
        </w:rPr>
        <w:t>2</w:t>
      </w:r>
      <w:r w:rsidRPr="00BD2B9F">
        <w:rPr>
          <w:rFonts w:eastAsia="Times New Roman"/>
        </w:rPr>
        <w:t>-201</w:t>
      </w:r>
      <w:r>
        <w:rPr>
          <w:rFonts w:eastAsia="Times New Roman"/>
        </w:rPr>
        <w:t>3</w:t>
      </w:r>
      <w:r w:rsidRPr="00BD2B9F">
        <w:rPr>
          <w:rFonts w:eastAsia="Times New Roman"/>
        </w:rPr>
        <w:t>.</w:t>
      </w:r>
    </w:p>
    <w:p w14:paraId="63CCBD5A" w14:textId="77777777" w:rsidR="002D7707" w:rsidRPr="00BD2B9F" w:rsidRDefault="002D7707" w:rsidP="004553EE"/>
    <w:tbl>
      <w:tblPr>
        <w:tblStyle w:val="TableGrid"/>
        <w:tblW w:w="9453"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1526"/>
        <w:gridCol w:w="1526"/>
        <w:gridCol w:w="1526"/>
        <w:gridCol w:w="1527"/>
      </w:tblGrid>
      <w:tr w:rsidR="002D7707" w:rsidRPr="002C25D1" w14:paraId="0A59EE69" w14:textId="77777777" w:rsidTr="007E76F5">
        <w:tc>
          <w:tcPr>
            <w:tcW w:w="3348" w:type="dxa"/>
            <w:tcBorders>
              <w:top w:val="single" w:sz="4" w:space="0" w:color="000000"/>
              <w:bottom w:val="single" w:sz="4" w:space="0" w:color="000000"/>
            </w:tcBorders>
          </w:tcPr>
          <w:p w14:paraId="4089017C" w14:textId="77777777" w:rsidR="002D7707" w:rsidRPr="002C25D1" w:rsidRDefault="002D7707" w:rsidP="000542AD">
            <w:pPr>
              <w:pStyle w:val="PlainText"/>
              <w:rPr>
                <w:rFonts w:ascii="Times New Roman" w:hAnsi="Times New Roman"/>
                <w:i/>
                <w:sz w:val="24"/>
                <w:szCs w:val="24"/>
              </w:rPr>
            </w:pPr>
            <w:r>
              <w:rPr>
                <w:rFonts w:ascii="Times New Roman" w:hAnsi="Times New Roman"/>
                <w:i/>
                <w:sz w:val="24"/>
                <w:szCs w:val="24"/>
              </w:rPr>
              <w:t>Independent variables</w:t>
            </w:r>
          </w:p>
        </w:tc>
        <w:tc>
          <w:tcPr>
            <w:tcW w:w="1526" w:type="dxa"/>
            <w:tcBorders>
              <w:top w:val="single" w:sz="4" w:space="0" w:color="000000"/>
              <w:bottom w:val="single" w:sz="4" w:space="0" w:color="000000"/>
            </w:tcBorders>
          </w:tcPr>
          <w:p w14:paraId="630AB914" w14:textId="77777777" w:rsidR="002D7707" w:rsidRPr="002C25D1" w:rsidRDefault="002D7707" w:rsidP="000542AD">
            <w:pPr>
              <w:pStyle w:val="PlainText"/>
              <w:rPr>
                <w:rFonts w:ascii="Times New Roman" w:hAnsi="Times New Roman"/>
                <w:sz w:val="24"/>
                <w:szCs w:val="24"/>
              </w:rPr>
            </w:pPr>
            <w:r>
              <w:rPr>
                <w:rFonts w:ascii="Times New Roman" w:hAnsi="Times New Roman"/>
                <w:sz w:val="24"/>
                <w:szCs w:val="24"/>
              </w:rPr>
              <w:t>Market inequality (OLS)</w:t>
            </w:r>
          </w:p>
        </w:tc>
        <w:tc>
          <w:tcPr>
            <w:tcW w:w="1526" w:type="dxa"/>
            <w:tcBorders>
              <w:top w:val="single" w:sz="4" w:space="0" w:color="000000"/>
              <w:bottom w:val="single" w:sz="4" w:space="0" w:color="000000"/>
            </w:tcBorders>
          </w:tcPr>
          <w:p w14:paraId="2D6B1599" w14:textId="77777777" w:rsidR="002D7707" w:rsidRPr="002C25D1" w:rsidRDefault="002D7707" w:rsidP="000542AD">
            <w:pPr>
              <w:pStyle w:val="PlainText"/>
              <w:rPr>
                <w:rFonts w:ascii="Times New Roman" w:hAnsi="Times New Roman"/>
                <w:sz w:val="24"/>
                <w:szCs w:val="24"/>
              </w:rPr>
            </w:pPr>
            <w:r>
              <w:rPr>
                <w:rFonts w:ascii="Times New Roman" w:hAnsi="Times New Roman"/>
                <w:sz w:val="24"/>
                <w:szCs w:val="24"/>
              </w:rPr>
              <w:t>Absolute redistribution (2SLS)</w:t>
            </w:r>
          </w:p>
        </w:tc>
        <w:tc>
          <w:tcPr>
            <w:tcW w:w="1526" w:type="dxa"/>
            <w:tcBorders>
              <w:top w:val="single" w:sz="4" w:space="0" w:color="000000"/>
              <w:bottom w:val="single" w:sz="4" w:space="0" w:color="000000"/>
            </w:tcBorders>
          </w:tcPr>
          <w:p w14:paraId="0028668D" w14:textId="77777777" w:rsidR="002D7707" w:rsidRPr="002C25D1" w:rsidRDefault="002D7707" w:rsidP="000542AD">
            <w:pPr>
              <w:pStyle w:val="PlainText"/>
              <w:rPr>
                <w:rFonts w:ascii="Times New Roman" w:hAnsi="Times New Roman"/>
                <w:sz w:val="24"/>
                <w:szCs w:val="24"/>
              </w:rPr>
            </w:pPr>
            <w:r>
              <w:rPr>
                <w:rFonts w:ascii="Times New Roman" w:hAnsi="Times New Roman"/>
                <w:sz w:val="24"/>
                <w:szCs w:val="24"/>
              </w:rPr>
              <w:t>Absolute redistribution (feasible efficient GMM)</w:t>
            </w:r>
          </w:p>
        </w:tc>
        <w:tc>
          <w:tcPr>
            <w:tcW w:w="1527" w:type="dxa"/>
            <w:tcBorders>
              <w:top w:val="single" w:sz="4" w:space="0" w:color="000000"/>
              <w:bottom w:val="single" w:sz="4" w:space="0" w:color="000000"/>
            </w:tcBorders>
          </w:tcPr>
          <w:p w14:paraId="28F2EC24" w14:textId="77777777" w:rsidR="002D7707" w:rsidRPr="002C25D1" w:rsidRDefault="002D7707" w:rsidP="000542AD">
            <w:pPr>
              <w:pStyle w:val="PlainText"/>
              <w:rPr>
                <w:rFonts w:ascii="Times New Roman" w:hAnsi="Times New Roman"/>
                <w:sz w:val="24"/>
                <w:szCs w:val="24"/>
              </w:rPr>
            </w:pPr>
            <w:r>
              <w:rPr>
                <w:rFonts w:ascii="Times New Roman" w:hAnsi="Times New Roman"/>
                <w:sz w:val="24"/>
                <w:szCs w:val="24"/>
              </w:rPr>
              <w:t>Absolute redistribution (system GMM)</w:t>
            </w:r>
          </w:p>
        </w:tc>
      </w:tr>
      <w:tr w:rsidR="00C779D1" w:rsidRPr="002C25D1" w14:paraId="6CBB4D6F" w14:textId="77777777" w:rsidTr="007E76F5">
        <w:tc>
          <w:tcPr>
            <w:tcW w:w="3348" w:type="dxa"/>
            <w:tcBorders>
              <w:top w:val="single" w:sz="4" w:space="0" w:color="000000"/>
            </w:tcBorders>
          </w:tcPr>
          <w:p w14:paraId="371BDF07" w14:textId="77777777" w:rsidR="00C779D1" w:rsidRPr="002C25D1" w:rsidRDefault="00C779D1" w:rsidP="00C779D1">
            <w:pPr>
              <w:pStyle w:val="PlainText"/>
              <w:rPr>
                <w:rFonts w:ascii="Times New Roman" w:hAnsi="Times New Roman"/>
                <w:sz w:val="24"/>
                <w:szCs w:val="24"/>
              </w:rPr>
            </w:pPr>
            <w:r>
              <w:rPr>
                <w:rFonts w:ascii="Times New Roman" w:hAnsi="Times New Roman"/>
                <w:sz w:val="24"/>
                <w:szCs w:val="24"/>
              </w:rPr>
              <w:t>l</w:t>
            </w:r>
            <w:r w:rsidRPr="002C25D1">
              <w:rPr>
                <w:rFonts w:ascii="Times New Roman" w:hAnsi="Times New Roman"/>
                <w:sz w:val="24"/>
                <w:szCs w:val="24"/>
              </w:rPr>
              <w:t>eft</w:t>
            </w:r>
            <w:r>
              <w:rPr>
                <w:rFonts w:ascii="Times New Roman" w:hAnsi="Times New Roman"/>
                <w:sz w:val="24"/>
                <w:szCs w:val="24"/>
              </w:rPr>
              <w:t xml:space="preserve"> executive</w:t>
            </w:r>
          </w:p>
        </w:tc>
        <w:tc>
          <w:tcPr>
            <w:tcW w:w="1526" w:type="dxa"/>
            <w:tcBorders>
              <w:top w:val="single" w:sz="4" w:space="0" w:color="000000"/>
            </w:tcBorders>
          </w:tcPr>
          <w:p w14:paraId="4347E1D0" w14:textId="429E739B" w:rsidR="00C779D1" w:rsidRPr="00C779D1" w:rsidRDefault="00C779D1" w:rsidP="00C779D1">
            <w:r w:rsidRPr="00C779D1">
              <w:t>-0.160</w:t>
            </w:r>
          </w:p>
        </w:tc>
        <w:tc>
          <w:tcPr>
            <w:tcW w:w="1526" w:type="dxa"/>
            <w:tcBorders>
              <w:top w:val="single" w:sz="4" w:space="0" w:color="000000"/>
            </w:tcBorders>
          </w:tcPr>
          <w:p w14:paraId="37AED356" w14:textId="1FD903D4" w:rsidR="00C779D1" w:rsidRPr="00C779D1" w:rsidRDefault="00C779D1" w:rsidP="00C779D1">
            <w:r w:rsidRPr="00C779D1">
              <w:t>0.334**</w:t>
            </w:r>
          </w:p>
        </w:tc>
        <w:tc>
          <w:tcPr>
            <w:tcW w:w="1526" w:type="dxa"/>
            <w:tcBorders>
              <w:top w:val="single" w:sz="4" w:space="0" w:color="000000"/>
            </w:tcBorders>
          </w:tcPr>
          <w:p w14:paraId="48EE5DDD" w14:textId="627F24CD" w:rsidR="00C779D1" w:rsidRPr="00C779D1" w:rsidRDefault="00C779D1" w:rsidP="00C779D1">
            <w:r w:rsidRPr="00C779D1">
              <w:t>0.206</w:t>
            </w:r>
          </w:p>
        </w:tc>
        <w:tc>
          <w:tcPr>
            <w:tcW w:w="1527" w:type="dxa"/>
            <w:tcBorders>
              <w:top w:val="single" w:sz="4" w:space="0" w:color="000000"/>
            </w:tcBorders>
          </w:tcPr>
          <w:p w14:paraId="7B93B608" w14:textId="62895CA8" w:rsidR="00C779D1" w:rsidRPr="00C779D1" w:rsidRDefault="00C779D1" w:rsidP="00C779D1">
            <w:r w:rsidRPr="00C779D1">
              <w:t>0.165</w:t>
            </w:r>
          </w:p>
        </w:tc>
      </w:tr>
      <w:tr w:rsidR="00C779D1" w:rsidRPr="002C25D1" w14:paraId="54921D60" w14:textId="77777777" w:rsidTr="007E76F5">
        <w:tc>
          <w:tcPr>
            <w:tcW w:w="3348" w:type="dxa"/>
          </w:tcPr>
          <w:p w14:paraId="68969754" w14:textId="77777777" w:rsidR="00C779D1" w:rsidRPr="002C25D1" w:rsidRDefault="00C779D1" w:rsidP="00C779D1">
            <w:pPr>
              <w:pStyle w:val="PlainText"/>
              <w:rPr>
                <w:rFonts w:ascii="Times New Roman" w:hAnsi="Times New Roman"/>
                <w:sz w:val="24"/>
                <w:szCs w:val="24"/>
              </w:rPr>
            </w:pPr>
            <w:r>
              <w:rPr>
                <w:rFonts w:ascii="Times New Roman" w:hAnsi="Times New Roman"/>
                <w:sz w:val="24"/>
                <w:szCs w:val="24"/>
              </w:rPr>
              <w:t>political constraints</w:t>
            </w:r>
          </w:p>
        </w:tc>
        <w:tc>
          <w:tcPr>
            <w:tcW w:w="1526" w:type="dxa"/>
          </w:tcPr>
          <w:p w14:paraId="74386307" w14:textId="67A05C0B" w:rsidR="00C779D1" w:rsidRPr="00C779D1" w:rsidRDefault="00C779D1" w:rsidP="00C779D1">
            <w:r w:rsidRPr="00C779D1">
              <w:t>0.836</w:t>
            </w:r>
          </w:p>
        </w:tc>
        <w:tc>
          <w:tcPr>
            <w:tcW w:w="1526" w:type="dxa"/>
          </w:tcPr>
          <w:p w14:paraId="323C0ADD" w14:textId="0CAB642D" w:rsidR="00C779D1" w:rsidRPr="00C779D1" w:rsidRDefault="00C779D1" w:rsidP="00C779D1">
            <w:r w:rsidRPr="00C779D1">
              <w:t>-0.966</w:t>
            </w:r>
          </w:p>
        </w:tc>
        <w:tc>
          <w:tcPr>
            <w:tcW w:w="1526" w:type="dxa"/>
          </w:tcPr>
          <w:p w14:paraId="44799BEC" w14:textId="42B3B765" w:rsidR="00C779D1" w:rsidRPr="00C779D1" w:rsidRDefault="00C779D1" w:rsidP="00C779D1">
            <w:r w:rsidRPr="00C779D1">
              <w:t>-1.031</w:t>
            </w:r>
          </w:p>
        </w:tc>
        <w:tc>
          <w:tcPr>
            <w:tcW w:w="1527" w:type="dxa"/>
          </w:tcPr>
          <w:p w14:paraId="085F8C32" w14:textId="2CCB0CCC" w:rsidR="00C779D1" w:rsidRPr="00C779D1" w:rsidRDefault="00C779D1" w:rsidP="00C779D1">
            <w:r w:rsidRPr="00C779D1">
              <w:t>-0.208</w:t>
            </w:r>
          </w:p>
        </w:tc>
      </w:tr>
      <w:tr w:rsidR="00C779D1" w:rsidRPr="002C25D1" w14:paraId="56653DB2" w14:textId="77777777" w:rsidTr="007E76F5">
        <w:tc>
          <w:tcPr>
            <w:tcW w:w="3348" w:type="dxa"/>
          </w:tcPr>
          <w:p w14:paraId="047DC318" w14:textId="77777777" w:rsidR="00C779D1" w:rsidRPr="002C25D1" w:rsidRDefault="00C779D1" w:rsidP="00C779D1">
            <w:pPr>
              <w:pStyle w:val="PlainText"/>
              <w:rPr>
                <w:rFonts w:ascii="Times New Roman" w:hAnsi="Times New Roman"/>
                <w:sz w:val="24"/>
                <w:szCs w:val="24"/>
              </w:rPr>
            </w:pPr>
            <w:r w:rsidRPr="002C25D1">
              <w:rPr>
                <w:rFonts w:ascii="Times New Roman" w:hAnsi="Times New Roman"/>
                <w:sz w:val="24"/>
                <w:szCs w:val="24"/>
              </w:rPr>
              <w:t>t</w:t>
            </w:r>
            <w:r>
              <w:rPr>
                <w:rFonts w:ascii="Times New Roman" w:hAnsi="Times New Roman"/>
                <w:sz w:val="24"/>
                <w:szCs w:val="24"/>
              </w:rPr>
              <w:t>urnout</w:t>
            </w:r>
          </w:p>
        </w:tc>
        <w:tc>
          <w:tcPr>
            <w:tcW w:w="1526" w:type="dxa"/>
          </w:tcPr>
          <w:p w14:paraId="67B233AD" w14:textId="00830458" w:rsidR="00C779D1" w:rsidRPr="00C779D1" w:rsidRDefault="00C779D1" w:rsidP="00C779D1">
            <w:r w:rsidRPr="00C779D1">
              <w:t>0.023*</w:t>
            </w:r>
          </w:p>
        </w:tc>
        <w:tc>
          <w:tcPr>
            <w:tcW w:w="1526" w:type="dxa"/>
          </w:tcPr>
          <w:p w14:paraId="3A756A63" w14:textId="6E677ECB" w:rsidR="00C779D1" w:rsidRPr="00C779D1" w:rsidRDefault="00C779D1" w:rsidP="00C779D1">
            <w:r w:rsidRPr="00C779D1">
              <w:t>-0.010</w:t>
            </w:r>
          </w:p>
        </w:tc>
        <w:tc>
          <w:tcPr>
            <w:tcW w:w="1526" w:type="dxa"/>
          </w:tcPr>
          <w:p w14:paraId="457F1914" w14:textId="038F7F41" w:rsidR="00C779D1" w:rsidRPr="00C779D1" w:rsidRDefault="00C779D1" w:rsidP="00C779D1">
            <w:r w:rsidRPr="00C779D1">
              <w:t>-0.023*</w:t>
            </w:r>
          </w:p>
        </w:tc>
        <w:tc>
          <w:tcPr>
            <w:tcW w:w="1527" w:type="dxa"/>
          </w:tcPr>
          <w:p w14:paraId="37F1E830" w14:textId="2C1F0853" w:rsidR="00C779D1" w:rsidRPr="00C779D1" w:rsidRDefault="00C779D1" w:rsidP="00C779D1">
            <w:r w:rsidRPr="00C779D1">
              <w:t>-0.001</w:t>
            </w:r>
          </w:p>
        </w:tc>
      </w:tr>
      <w:tr w:rsidR="00C779D1" w:rsidRPr="002C25D1" w14:paraId="4FEF8D91" w14:textId="77777777" w:rsidTr="007E76F5">
        <w:tc>
          <w:tcPr>
            <w:tcW w:w="3348" w:type="dxa"/>
          </w:tcPr>
          <w:p w14:paraId="04FCC1B7" w14:textId="4438163F" w:rsidR="00C779D1" w:rsidRPr="002C25D1" w:rsidRDefault="00C779D1" w:rsidP="00C779D1">
            <w:pPr>
              <w:pStyle w:val="PlainText"/>
              <w:rPr>
                <w:rFonts w:ascii="Times New Roman" w:hAnsi="Times New Roman"/>
                <w:sz w:val="24"/>
                <w:szCs w:val="24"/>
              </w:rPr>
            </w:pPr>
            <w:r>
              <w:rPr>
                <w:rFonts w:ascii="Times New Roman" w:hAnsi="Times New Roman"/>
                <w:sz w:val="24"/>
                <w:szCs w:val="24"/>
              </w:rPr>
              <w:t>GDP/pcp</w:t>
            </w:r>
          </w:p>
        </w:tc>
        <w:tc>
          <w:tcPr>
            <w:tcW w:w="1526" w:type="dxa"/>
          </w:tcPr>
          <w:p w14:paraId="6FA03A1B" w14:textId="64BC681B" w:rsidR="00C779D1" w:rsidRPr="00C779D1" w:rsidRDefault="00C779D1" w:rsidP="00C779D1">
            <w:r w:rsidRPr="00C779D1">
              <w:t>0.000***</w:t>
            </w:r>
          </w:p>
        </w:tc>
        <w:tc>
          <w:tcPr>
            <w:tcW w:w="1526" w:type="dxa"/>
          </w:tcPr>
          <w:p w14:paraId="70E21996" w14:textId="012496DD" w:rsidR="00C779D1" w:rsidRPr="00C779D1" w:rsidRDefault="00C779D1" w:rsidP="00C779D1">
            <w:r w:rsidRPr="00C779D1">
              <w:t>-0.000***</w:t>
            </w:r>
          </w:p>
        </w:tc>
        <w:tc>
          <w:tcPr>
            <w:tcW w:w="1526" w:type="dxa"/>
          </w:tcPr>
          <w:p w14:paraId="2CFC9265" w14:textId="331180C2" w:rsidR="00C779D1" w:rsidRPr="00C779D1" w:rsidRDefault="00C779D1" w:rsidP="00C779D1">
            <w:r w:rsidRPr="00C779D1">
              <w:t>-0.000***</w:t>
            </w:r>
          </w:p>
        </w:tc>
        <w:tc>
          <w:tcPr>
            <w:tcW w:w="1527" w:type="dxa"/>
          </w:tcPr>
          <w:p w14:paraId="7088ECC1" w14:textId="04402842" w:rsidR="00C779D1" w:rsidRPr="00C779D1" w:rsidRDefault="00C779D1" w:rsidP="00C779D1">
            <w:r w:rsidRPr="00C779D1">
              <w:t>-0.000**</w:t>
            </w:r>
          </w:p>
        </w:tc>
      </w:tr>
      <w:tr w:rsidR="00C779D1" w:rsidRPr="002C25D1" w14:paraId="1DEDD6D4" w14:textId="77777777" w:rsidTr="007E76F5">
        <w:tc>
          <w:tcPr>
            <w:tcW w:w="3348" w:type="dxa"/>
          </w:tcPr>
          <w:p w14:paraId="3416CB6B" w14:textId="77777777" w:rsidR="00C779D1" w:rsidRPr="002C25D1" w:rsidRDefault="00C779D1" w:rsidP="00C779D1">
            <w:pPr>
              <w:pStyle w:val="PlainText"/>
              <w:rPr>
                <w:rFonts w:ascii="Times New Roman" w:hAnsi="Times New Roman"/>
                <w:sz w:val="24"/>
                <w:szCs w:val="24"/>
              </w:rPr>
            </w:pPr>
            <w:r>
              <w:rPr>
                <w:rFonts w:ascii="Times New Roman" w:hAnsi="Times New Roman"/>
                <w:sz w:val="24"/>
                <w:szCs w:val="24"/>
              </w:rPr>
              <w:t>lagged unemployment</w:t>
            </w:r>
          </w:p>
        </w:tc>
        <w:tc>
          <w:tcPr>
            <w:tcW w:w="1526" w:type="dxa"/>
          </w:tcPr>
          <w:p w14:paraId="6986963E" w14:textId="3FFBB16D" w:rsidR="00C779D1" w:rsidRPr="00C779D1" w:rsidRDefault="00C779D1" w:rsidP="00C779D1">
            <w:r w:rsidRPr="00C779D1">
              <w:t>0.129***</w:t>
            </w:r>
          </w:p>
        </w:tc>
        <w:tc>
          <w:tcPr>
            <w:tcW w:w="1526" w:type="dxa"/>
          </w:tcPr>
          <w:p w14:paraId="6B3EC893" w14:textId="1B01D55E" w:rsidR="00C779D1" w:rsidRPr="00C779D1" w:rsidRDefault="00C779D1" w:rsidP="00C779D1">
            <w:r w:rsidRPr="00C779D1">
              <w:t>-0.108***</w:t>
            </w:r>
          </w:p>
        </w:tc>
        <w:tc>
          <w:tcPr>
            <w:tcW w:w="1526" w:type="dxa"/>
          </w:tcPr>
          <w:p w14:paraId="62A19980" w14:textId="41856965" w:rsidR="00C779D1" w:rsidRPr="00C779D1" w:rsidRDefault="00C779D1" w:rsidP="00C779D1">
            <w:r w:rsidRPr="00C779D1">
              <w:t>-0.095**</w:t>
            </w:r>
          </w:p>
        </w:tc>
        <w:tc>
          <w:tcPr>
            <w:tcW w:w="1527" w:type="dxa"/>
          </w:tcPr>
          <w:p w14:paraId="6C8AA521" w14:textId="6D3305E1" w:rsidR="00C779D1" w:rsidRPr="00C779D1" w:rsidRDefault="00C779D1" w:rsidP="00C779D1">
            <w:r w:rsidRPr="00C779D1">
              <w:t>-0.009</w:t>
            </w:r>
          </w:p>
        </w:tc>
      </w:tr>
      <w:tr w:rsidR="00C779D1" w:rsidRPr="002C25D1" w14:paraId="3187B45C" w14:textId="77777777" w:rsidTr="007E76F5">
        <w:tc>
          <w:tcPr>
            <w:tcW w:w="3348" w:type="dxa"/>
          </w:tcPr>
          <w:p w14:paraId="485755F6" w14:textId="77777777" w:rsidR="00C779D1" w:rsidRPr="002C25D1" w:rsidRDefault="00C779D1" w:rsidP="00C779D1">
            <w:pPr>
              <w:pStyle w:val="PlainText"/>
              <w:rPr>
                <w:rFonts w:ascii="Times New Roman" w:hAnsi="Times New Roman"/>
                <w:sz w:val="24"/>
                <w:szCs w:val="24"/>
              </w:rPr>
            </w:pPr>
            <w:r>
              <w:rPr>
                <w:rFonts w:ascii="Times New Roman" w:hAnsi="Times New Roman"/>
                <w:sz w:val="24"/>
                <w:szCs w:val="24"/>
              </w:rPr>
              <w:t>f</w:t>
            </w:r>
            <w:r w:rsidRPr="002C25D1">
              <w:rPr>
                <w:rFonts w:ascii="Times New Roman" w:hAnsi="Times New Roman"/>
                <w:sz w:val="24"/>
                <w:szCs w:val="24"/>
              </w:rPr>
              <w:t>emale</w:t>
            </w:r>
            <w:r>
              <w:rPr>
                <w:rFonts w:ascii="Times New Roman" w:hAnsi="Times New Roman"/>
                <w:sz w:val="24"/>
                <w:szCs w:val="24"/>
              </w:rPr>
              <w:t xml:space="preserve"> labor force participation</w:t>
            </w:r>
          </w:p>
        </w:tc>
        <w:tc>
          <w:tcPr>
            <w:tcW w:w="1526" w:type="dxa"/>
          </w:tcPr>
          <w:p w14:paraId="59899B21" w14:textId="680DBA12" w:rsidR="00C779D1" w:rsidRPr="00C779D1" w:rsidRDefault="00C779D1" w:rsidP="00C779D1">
            <w:r w:rsidRPr="00C779D1">
              <w:t>-0.294***</w:t>
            </w:r>
          </w:p>
        </w:tc>
        <w:tc>
          <w:tcPr>
            <w:tcW w:w="1526" w:type="dxa"/>
          </w:tcPr>
          <w:p w14:paraId="0F1115E3" w14:textId="6A696B23" w:rsidR="00C779D1" w:rsidRPr="00C779D1" w:rsidRDefault="00C779D1" w:rsidP="00C779D1">
            <w:r w:rsidRPr="00C779D1">
              <w:t>0.367***</w:t>
            </w:r>
          </w:p>
        </w:tc>
        <w:tc>
          <w:tcPr>
            <w:tcW w:w="1526" w:type="dxa"/>
          </w:tcPr>
          <w:p w14:paraId="1D81513A" w14:textId="36291624" w:rsidR="00C779D1" w:rsidRPr="00C779D1" w:rsidRDefault="00C779D1" w:rsidP="00C779D1">
            <w:r w:rsidRPr="00C779D1">
              <w:t>0.349***</w:t>
            </w:r>
          </w:p>
        </w:tc>
        <w:tc>
          <w:tcPr>
            <w:tcW w:w="1527" w:type="dxa"/>
          </w:tcPr>
          <w:p w14:paraId="0515D48C" w14:textId="157EECBE" w:rsidR="00C779D1" w:rsidRPr="00C779D1" w:rsidRDefault="00C779D1" w:rsidP="00C779D1">
            <w:r w:rsidRPr="00C779D1">
              <w:t>0.137***</w:t>
            </w:r>
          </w:p>
        </w:tc>
      </w:tr>
      <w:tr w:rsidR="00C779D1" w:rsidRPr="002C25D1" w14:paraId="6CD796D0" w14:textId="77777777" w:rsidTr="007E76F5">
        <w:tc>
          <w:tcPr>
            <w:tcW w:w="3348" w:type="dxa"/>
          </w:tcPr>
          <w:p w14:paraId="3E1EFB6C" w14:textId="77777777" w:rsidR="00C779D1" w:rsidRPr="002C25D1" w:rsidRDefault="00C779D1" w:rsidP="00C779D1">
            <w:pPr>
              <w:pStyle w:val="PlainText"/>
              <w:rPr>
                <w:rFonts w:ascii="Times New Roman" w:hAnsi="Times New Roman"/>
                <w:sz w:val="24"/>
                <w:szCs w:val="24"/>
              </w:rPr>
            </w:pPr>
            <w:r>
              <w:rPr>
                <w:rFonts w:ascii="Times New Roman" w:hAnsi="Times New Roman"/>
                <w:sz w:val="24"/>
                <w:szCs w:val="24"/>
              </w:rPr>
              <w:t>age dependency ratio</w:t>
            </w:r>
          </w:p>
        </w:tc>
        <w:tc>
          <w:tcPr>
            <w:tcW w:w="1526" w:type="dxa"/>
          </w:tcPr>
          <w:p w14:paraId="45A03B72" w14:textId="5E22ED0D" w:rsidR="00C779D1" w:rsidRPr="00C779D1" w:rsidRDefault="00C779D1" w:rsidP="00C779D1">
            <w:r w:rsidRPr="00C779D1">
              <w:t>0.189***</w:t>
            </w:r>
          </w:p>
        </w:tc>
        <w:tc>
          <w:tcPr>
            <w:tcW w:w="1526" w:type="dxa"/>
          </w:tcPr>
          <w:p w14:paraId="2F155CC2" w14:textId="572E0711" w:rsidR="00C779D1" w:rsidRPr="00C779D1" w:rsidRDefault="00C779D1" w:rsidP="00C779D1">
            <w:r w:rsidRPr="00C779D1">
              <w:t>-0.136**</w:t>
            </w:r>
          </w:p>
        </w:tc>
        <w:tc>
          <w:tcPr>
            <w:tcW w:w="1526" w:type="dxa"/>
          </w:tcPr>
          <w:p w14:paraId="619437DF" w14:textId="614343BC" w:rsidR="00C779D1" w:rsidRPr="00C779D1" w:rsidRDefault="00C779D1" w:rsidP="00C779D1">
            <w:r w:rsidRPr="00C779D1">
              <w:t>-0.183***</w:t>
            </w:r>
          </w:p>
        </w:tc>
        <w:tc>
          <w:tcPr>
            <w:tcW w:w="1527" w:type="dxa"/>
          </w:tcPr>
          <w:p w14:paraId="0E304519" w14:textId="01077FB5" w:rsidR="00C779D1" w:rsidRPr="00C779D1" w:rsidRDefault="00C779D1" w:rsidP="00C779D1">
            <w:r w:rsidRPr="00C779D1">
              <w:t>-0.072**</w:t>
            </w:r>
          </w:p>
        </w:tc>
      </w:tr>
      <w:tr w:rsidR="00C779D1" w:rsidRPr="002C25D1" w14:paraId="4B83D046" w14:textId="77777777" w:rsidTr="007E76F5">
        <w:tc>
          <w:tcPr>
            <w:tcW w:w="3348" w:type="dxa"/>
          </w:tcPr>
          <w:p w14:paraId="25C19563" w14:textId="77777777" w:rsidR="00C779D1" w:rsidRPr="002C25D1" w:rsidRDefault="00C779D1" w:rsidP="00C779D1">
            <w:pPr>
              <w:pStyle w:val="PlainText"/>
              <w:rPr>
                <w:rFonts w:ascii="Times New Roman" w:hAnsi="Times New Roman"/>
                <w:sz w:val="24"/>
                <w:szCs w:val="24"/>
              </w:rPr>
            </w:pPr>
            <w:r w:rsidRPr="002C25D1">
              <w:rPr>
                <w:rFonts w:ascii="Times New Roman" w:hAnsi="Times New Roman"/>
                <w:sz w:val="24"/>
                <w:szCs w:val="24"/>
              </w:rPr>
              <w:t>du</w:t>
            </w:r>
            <w:r>
              <w:rPr>
                <w:rFonts w:ascii="Times New Roman" w:hAnsi="Times New Roman"/>
                <w:sz w:val="24"/>
                <w:szCs w:val="24"/>
              </w:rPr>
              <w:t>rability</w:t>
            </w:r>
          </w:p>
        </w:tc>
        <w:tc>
          <w:tcPr>
            <w:tcW w:w="1526" w:type="dxa"/>
          </w:tcPr>
          <w:p w14:paraId="0E8CB921" w14:textId="26B11CAD" w:rsidR="00C779D1" w:rsidRPr="00C779D1" w:rsidRDefault="00C779D1" w:rsidP="00C779D1">
            <w:r w:rsidRPr="00C779D1">
              <w:t>0.007</w:t>
            </w:r>
          </w:p>
        </w:tc>
        <w:tc>
          <w:tcPr>
            <w:tcW w:w="1526" w:type="dxa"/>
          </w:tcPr>
          <w:p w14:paraId="47A6E960" w14:textId="6045F60E" w:rsidR="00C779D1" w:rsidRPr="00C779D1" w:rsidRDefault="00C779D1" w:rsidP="00C779D1">
            <w:r w:rsidRPr="00C779D1">
              <w:t>-0.002</w:t>
            </w:r>
          </w:p>
        </w:tc>
        <w:tc>
          <w:tcPr>
            <w:tcW w:w="1526" w:type="dxa"/>
          </w:tcPr>
          <w:p w14:paraId="6953DF2A" w14:textId="6C8A6946" w:rsidR="00C779D1" w:rsidRPr="00C779D1" w:rsidRDefault="00C779D1" w:rsidP="00C779D1">
            <w:r w:rsidRPr="00C779D1">
              <w:t>0.024</w:t>
            </w:r>
          </w:p>
        </w:tc>
        <w:tc>
          <w:tcPr>
            <w:tcW w:w="1527" w:type="dxa"/>
          </w:tcPr>
          <w:p w14:paraId="51A53F8C" w14:textId="21F22F2E" w:rsidR="00C779D1" w:rsidRPr="00C779D1" w:rsidRDefault="00C779D1" w:rsidP="00C779D1">
            <w:r w:rsidRPr="00C779D1">
              <w:t>0.008</w:t>
            </w:r>
          </w:p>
        </w:tc>
      </w:tr>
      <w:tr w:rsidR="00C779D1" w:rsidRPr="002C25D1" w14:paraId="57869B63" w14:textId="77777777" w:rsidTr="007E76F5">
        <w:tc>
          <w:tcPr>
            <w:tcW w:w="3348" w:type="dxa"/>
          </w:tcPr>
          <w:p w14:paraId="1AD9F548" w14:textId="77777777" w:rsidR="00C779D1" w:rsidRPr="002C25D1" w:rsidRDefault="00C779D1" w:rsidP="00C779D1">
            <w:pPr>
              <w:pStyle w:val="PlainText"/>
              <w:rPr>
                <w:rFonts w:ascii="Times New Roman" w:hAnsi="Times New Roman"/>
                <w:sz w:val="24"/>
                <w:szCs w:val="24"/>
              </w:rPr>
            </w:pPr>
            <w:r>
              <w:rPr>
                <w:rFonts w:ascii="Times New Roman" w:hAnsi="Times New Roman"/>
                <w:sz w:val="24"/>
                <w:szCs w:val="24"/>
              </w:rPr>
              <w:t>corporatism</w:t>
            </w:r>
          </w:p>
        </w:tc>
        <w:tc>
          <w:tcPr>
            <w:tcW w:w="1526" w:type="dxa"/>
          </w:tcPr>
          <w:p w14:paraId="36A39B8E" w14:textId="3EBE2E3C" w:rsidR="00C779D1" w:rsidRPr="00C779D1" w:rsidRDefault="00C779D1" w:rsidP="00C779D1">
            <w:r w:rsidRPr="00C779D1">
              <w:t>-0.274**</w:t>
            </w:r>
          </w:p>
        </w:tc>
        <w:tc>
          <w:tcPr>
            <w:tcW w:w="1526" w:type="dxa"/>
          </w:tcPr>
          <w:p w14:paraId="3D936C9B" w14:textId="70A313EB" w:rsidR="00C779D1" w:rsidRPr="00C779D1" w:rsidRDefault="00C779D1" w:rsidP="00C779D1">
            <w:r w:rsidRPr="00C779D1">
              <w:t>0.236*</w:t>
            </w:r>
          </w:p>
        </w:tc>
        <w:tc>
          <w:tcPr>
            <w:tcW w:w="1526" w:type="dxa"/>
          </w:tcPr>
          <w:p w14:paraId="5BBA3DDD" w14:textId="14F58470" w:rsidR="00C779D1" w:rsidRPr="00C779D1" w:rsidRDefault="00C779D1" w:rsidP="00C779D1">
            <w:r w:rsidRPr="00C779D1">
              <w:t>0.196</w:t>
            </w:r>
          </w:p>
        </w:tc>
        <w:tc>
          <w:tcPr>
            <w:tcW w:w="1527" w:type="dxa"/>
          </w:tcPr>
          <w:p w14:paraId="12E43309" w14:textId="1A2085D8" w:rsidR="00C779D1" w:rsidRPr="00C779D1" w:rsidRDefault="00C779D1" w:rsidP="00C779D1">
            <w:r w:rsidRPr="00C779D1">
              <w:t>0.200*</w:t>
            </w:r>
          </w:p>
        </w:tc>
      </w:tr>
      <w:tr w:rsidR="00C779D1" w:rsidRPr="002C25D1" w14:paraId="108235A8" w14:textId="77777777" w:rsidTr="007E76F5">
        <w:tc>
          <w:tcPr>
            <w:tcW w:w="3348" w:type="dxa"/>
          </w:tcPr>
          <w:p w14:paraId="62040ADE" w14:textId="77777777" w:rsidR="00C779D1" w:rsidRPr="002C25D1" w:rsidRDefault="00C779D1" w:rsidP="00C779D1">
            <w:pPr>
              <w:pStyle w:val="PlainText"/>
              <w:rPr>
                <w:rFonts w:ascii="Times New Roman" w:hAnsi="Times New Roman"/>
                <w:sz w:val="24"/>
                <w:szCs w:val="24"/>
              </w:rPr>
            </w:pPr>
            <w:r>
              <w:rPr>
                <w:rFonts w:ascii="Times New Roman" w:hAnsi="Times New Roman"/>
                <w:sz w:val="24"/>
                <w:szCs w:val="24"/>
              </w:rPr>
              <w:t>Union density</w:t>
            </w:r>
          </w:p>
        </w:tc>
        <w:tc>
          <w:tcPr>
            <w:tcW w:w="1526" w:type="dxa"/>
          </w:tcPr>
          <w:p w14:paraId="5021C1B0" w14:textId="2A2D1B95" w:rsidR="00C779D1" w:rsidRPr="00C779D1" w:rsidRDefault="00C779D1" w:rsidP="00C779D1">
            <w:r w:rsidRPr="00C779D1">
              <w:t>-0.010</w:t>
            </w:r>
          </w:p>
        </w:tc>
        <w:tc>
          <w:tcPr>
            <w:tcW w:w="1526" w:type="dxa"/>
          </w:tcPr>
          <w:p w14:paraId="3A104B03" w14:textId="26D3344A" w:rsidR="00C779D1" w:rsidRPr="00C779D1" w:rsidRDefault="00C779D1" w:rsidP="00C779D1">
            <w:r w:rsidRPr="00C779D1">
              <w:t>0.022</w:t>
            </w:r>
          </w:p>
        </w:tc>
        <w:tc>
          <w:tcPr>
            <w:tcW w:w="1526" w:type="dxa"/>
          </w:tcPr>
          <w:p w14:paraId="1E1A9645" w14:textId="29E686A5" w:rsidR="00C779D1" w:rsidRPr="00C779D1" w:rsidRDefault="00C779D1" w:rsidP="00C779D1">
            <w:r w:rsidRPr="00C779D1">
              <w:t>0.048</w:t>
            </w:r>
          </w:p>
        </w:tc>
        <w:tc>
          <w:tcPr>
            <w:tcW w:w="1527" w:type="dxa"/>
          </w:tcPr>
          <w:p w14:paraId="7D03A948" w14:textId="0DF0E6B6" w:rsidR="00C779D1" w:rsidRPr="00C779D1" w:rsidRDefault="00C779D1" w:rsidP="00C779D1">
            <w:r w:rsidRPr="00C779D1">
              <w:t>0.010</w:t>
            </w:r>
          </w:p>
        </w:tc>
      </w:tr>
      <w:tr w:rsidR="00C779D1" w:rsidRPr="002C25D1" w14:paraId="2B9E5885" w14:textId="77777777" w:rsidTr="007E76F5">
        <w:tc>
          <w:tcPr>
            <w:tcW w:w="3348" w:type="dxa"/>
          </w:tcPr>
          <w:p w14:paraId="6E51234E" w14:textId="77777777" w:rsidR="00C779D1" w:rsidRPr="002C25D1" w:rsidRDefault="00C779D1" w:rsidP="00C779D1">
            <w:pPr>
              <w:pStyle w:val="PlainText"/>
              <w:rPr>
                <w:rFonts w:ascii="Times New Roman" w:hAnsi="Times New Roman"/>
                <w:sz w:val="24"/>
                <w:szCs w:val="24"/>
              </w:rPr>
            </w:pPr>
            <w:r>
              <w:rPr>
                <w:rFonts w:ascii="Times New Roman" w:hAnsi="Times New Roman"/>
                <w:sz w:val="24"/>
                <w:szCs w:val="24"/>
              </w:rPr>
              <w:t>lagged redistribution</w:t>
            </w:r>
          </w:p>
        </w:tc>
        <w:tc>
          <w:tcPr>
            <w:tcW w:w="1526" w:type="dxa"/>
          </w:tcPr>
          <w:p w14:paraId="39C446CC" w14:textId="3CE9DFD2" w:rsidR="00C779D1" w:rsidRPr="00C779D1" w:rsidRDefault="00C779D1" w:rsidP="00C779D1">
            <w:r w:rsidRPr="00C779D1">
              <w:t>1.187***</w:t>
            </w:r>
          </w:p>
        </w:tc>
        <w:tc>
          <w:tcPr>
            <w:tcW w:w="1526" w:type="dxa"/>
          </w:tcPr>
          <w:p w14:paraId="39DCC378" w14:textId="77777777" w:rsidR="00C779D1" w:rsidRPr="00C779D1" w:rsidRDefault="00C779D1" w:rsidP="00C779D1"/>
        </w:tc>
        <w:tc>
          <w:tcPr>
            <w:tcW w:w="1526" w:type="dxa"/>
          </w:tcPr>
          <w:p w14:paraId="6543B7BF" w14:textId="77777777" w:rsidR="00C779D1" w:rsidRPr="00C779D1" w:rsidRDefault="00C779D1" w:rsidP="00C779D1"/>
        </w:tc>
        <w:tc>
          <w:tcPr>
            <w:tcW w:w="1527" w:type="dxa"/>
          </w:tcPr>
          <w:p w14:paraId="71ECFC77" w14:textId="4CF94ABF" w:rsidR="00C779D1" w:rsidRPr="00C779D1" w:rsidRDefault="00C779D1" w:rsidP="00C779D1">
            <w:r w:rsidRPr="00C779D1">
              <w:t>0.884***</w:t>
            </w:r>
          </w:p>
        </w:tc>
      </w:tr>
      <w:tr w:rsidR="00C779D1" w:rsidRPr="002C25D1" w14:paraId="00130A1D" w14:textId="77777777" w:rsidTr="007E76F5">
        <w:tc>
          <w:tcPr>
            <w:tcW w:w="3348" w:type="dxa"/>
          </w:tcPr>
          <w:p w14:paraId="74B6A062" w14:textId="77777777" w:rsidR="00C779D1" w:rsidRPr="002C25D1" w:rsidRDefault="00C779D1" w:rsidP="00C779D1">
            <w:pPr>
              <w:pStyle w:val="PlainText"/>
              <w:rPr>
                <w:rFonts w:ascii="Times New Roman" w:hAnsi="Times New Roman"/>
                <w:sz w:val="24"/>
                <w:szCs w:val="24"/>
              </w:rPr>
            </w:pPr>
            <w:r>
              <w:rPr>
                <w:rFonts w:ascii="Times New Roman" w:hAnsi="Times New Roman"/>
                <w:sz w:val="24"/>
                <w:szCs w:val="24"/>
              </w:rPr>
              <w:lastRenderedPageBreak/>
              <w:t>lag 2 of redistribution</w:t>
            </w:r>
          </w:p>
        </w:tc>
        <w:tc>
          <w:tcPr>
            <w:tcW w:w="1526" w:type="dxa"/>
          </w:tcPr>
          <w:p w14:paraId="1D33C70A" w14:textId="6C6CA6BA" w:rsidR="00C779D1" w:rsidRPr="00C779D1" w:rsidRDefault="00C779D1" w:rsidP="00C779D1">
            <w:r w:rsidRPr="00C779D1">
              <w:t>-0.337**</w:t>
            </w:r>
          </w:p>
        </w:tc>
        <w:tc>
          <w:tcPr>
            <w:tcW w:w="1526" w:type="dxa"/>
          </w:tcPr>
          <w:p w14:paraId="666792C9" w14:textId="77777777" w:rsidR="00C779D1" w:rsidRPr="00C779D1" w:rsidRDefault="00C779D1" w:rsidP="00C779D1"/>
        </w:tc>
        <w:tc>
          <w:tcPr>
            <w:tcW w:w="1526" w:type="dxa"/>
          </w:tcPr>
          <w:p w14:paraId="2E772627" w14:textId="77777777" w:rsidR="00C779D1" w:rsidRPr="00C779D1" w:rsidRDefault="00C779D1" w:rsidP="00C779D1"/>
        </w:tc>
        <w:tc>
          <w:tcPr>
            <w:tcW w:w="1527" w:type="dxa"/>
          </w:tcPr>
          <w:p w14:paraId="2BFF66AF" w14:textId="77777777" w:rsidR="00C779D1" w:rsidRPr="00C779D1" w:rsidRDefault="00C779D1" w:rsidP="00C779D1">
            <w:pPr>
              <w:pStyle w:val="PlainText"/>
              <w:rPr>
                <w:rFonts w:ascii="Times New Roman" w:hAnsi="Times New Roman"/>
                <w:sz w:val="24"/>
                <w:szCs w:val="24"/>
              </w:rPr>
            </w:pPr>
          </w:p>
        </w:tc>
      </w:tr>
      <w:tr w:rsidR="00C779D1" w:rsidRPr="002C25D1" w14:paraId="658DA0DE" w14:textId="77777777" w:rsidTr="007E76F5">
        <w:tc>
          <w:tcPr>
            <w:tcW w:w="3348" w:type="dxa"/>
          </w:tcPr>
          <w:p w14:paraId="7577B966" w14:textId="77777777" w:rsidR="00C779D1" w:rsidRPr="002C25D1" w:rsidRDefault="00C779D1" w:rsidP="00C779D1">
            <w:pPr>
              <w:pStyle w:val="PlainText"/>
              <w:rPr>
                <w:rFonts w:ascii="Times New Roman" w:hAnsi="Times New Roman"/>
                <w:sz w:val="24"/>
                <w:szCs w:val="24"/>
              </w:rPr>
            </w:pPr>
            <w:r>
              <w:rPr>
                <w:rFonts w:ascii="Times New Roman" w:hAnsi="Times New Roman"/>
                <w:sz w:val="24"/>
                <w:szCs w:val="24"/>
              </w:rPr>
              <w:t>lag 3 of redistribution</w:t>
            </w:r>
          </w:p>
        </w:tc>
        <w:tc>
          <w:tcPr>
            <w:tcW w:w="1526" w:type="dxa"/>
          </w:tcPr>
          <w:p w14:paraId="0D10671C" w14:textId="3A5069D1" w:rsidR="00C779D1" w:rsidRPr="00C779D1" w:rsidRDefault="00C779D1" w:rsidP="00C779D1">
            <w:r w:rsidRPr="00C779D1">
              <w:t>-0.207**</w:t>
            </w:r>
          </w:p>
        </w:tc>
        <w:tc>
          <w:tcPr>
            <w:tcW w:w="1526" w:type="dxa"/>
          </w:tcPr>
          <w:p w14:paraId="49505166" w14:textId="77777777" w:rsidR="00C779D1" w:rsidRPr="00C779D1" w:rsidRDefault="00C779D1" w:rsidP="00C779D1"/>
        </w:tc>
        <w:tc>
          <w:tcPr>
            <w:tcW w:w="1526" w:type="dxa"/>
          </w:tcPr>
          <w:p w14:paraId="294F80AF" w14:textId="77777777" w:rsidR="00C779D1" w:rsidRPr="00C779D1" w:rsidRDefault="00C779D1" w:rsidP="00C779D1"/>
        </w:tc>
        <w:tc>
          <w:tcPr>
            <w:tcW w:w="1527" w:type="dxa"/>
          </w:tcPr>
          <w:p w14:paraId="6A08901D" w14:textId="77777777" w:rsidR="00C779D1" w:rsidRPr="00C779D1" w:rsidRDefault="00C779D1" w:rsidP="00C779D1">
            <w:pPr>
              <w:pStyle w:val="PlainText"/>
              <w:rPr>
                <w:rFonts w:ascii="Times New Roman" w:hAnsi="Times New Roman"/>
                <w:sz w:val="24"/>
                <w:szCs w:val="24"/>
              </w:rPr>
            </w:pPr>
          </w:p>
        </w:tc>
      </w:tr>
      <w:tr w:rsidR="00C779D1" w:rsidRPr="002C25D1" w14:paraId="7DE2BAC7" w14:textId="77777777" w:rsidTr="007E76F5">
        <w:tc>
          <w:tcPr>
            <w:tcW w:w="3348" w:type="dxa"/>
          </w:tcPr>
          <w:p w14:paraId="056159EA" w14:textId="77777777" w:rsidR="00C779D1" w:rsidRPr="002C25D1" w:rsidRDefault="00C779D1" w:rsidP="00C779D1">
            <w:pPr>
              <w:pStyle w:val="PlainText"/>
              <w:rPr>
                <w:rFonts w:ascii="Times New Roman" w:hAnsi="Times New Roman"/>
                <w:sz w:val="24"/>
                <w:szCs w:val="24"/>
              </w:rPr>
            </w:pPr>
            <w:r>
              <w:rPr>
                <w:rFonts w:ascii="Times New Roman" w:hAnsi="Times New Roman"/>
                <w:sz w:val="24"/>
                <w:szCs w:val="24"/>
              </w:rPr>
              <w:t>imports</w:t>
            </w:r>
          </w:p>
        </w:tc>
        <w:tc>
          <w:tcPr>
            <w:tcW w:w="1526" w:type="dxa"/>
          </w:tcPr>
          <w:p w14:paraId="02C323C1" w14:textId="06A3DC5A" w:rsidR="00C779D1" w:rsidRPr="00C779D1" w:rsidRDefault="00C779D1" w:rsidP="00C779D1">
            <w:r w:rsidRPr="00C779D1">
              <w:t>-0.000</w:t>
            </w:r>
          </w:p>
        </w:tc>
        <w:tc>
          <w:tcPr>
            <w:tcW w:w="1526" w:type="dxa"/>
          </w:tcPr>
          <w:p w14:paraId="133F4A01" w14:textId="77777777" w:rsidR="00C779D1" w:rsidRPr="00C779D1" w:rsidRDefault="00C779D1" w:rsidP="00C779D1"/>
        </w:tc>
        <w:tc>
          <w:tcPr>
            <w:tcW w:w="1526" w:type="dxa"/>
          </w:tcPr>
          <w:p w14:paraId="7E06C641" w14:textId="77777777" w:rsidR="00C779D1" w:rsidRPr="00C779D1" w:rsidRDefault="00C779D1" w:rsidP="00C779D1"/>
        </w:tc>
        <w:tc>
          <w:tcPr>
            <w:tcW w:w="1527" w:type="dxa"/>
          </w:tcPr>
          <w:p w14:paraId="64F09DCD" w14:textId="50A7E6B1" w:rsidR="00C779D1" w:rsidRPr="00C779D1" w:rsidRDefault="00C779D1" w:rsidP="00C779D1">
            <w:r w:rsidRPr="00C779D1">
              <w:t>0.000*</w:t>
            </w:r>
          </w:p>
        </w:tc>
      </w:tr>
      <w:tr w:rsidR="00C779D1" w:rsidRPr="002C25D1" w14:paraId="044E7E57" w14:textId="77777777" w:rsidTr="007E76F5">
        <w:tc>
          <w:tcPr>
            <w:tcW w:w="3348" w:type="dxa"/>
          </w:tcPr>
          <w:p w14:paraId="7E24676A" w14:textId="77777777" w:rsidR="00C779D1" w:rsidRPr="002C25D1" w:rsidRDefault="00C779D1" w:rsidP="00C779D1">
            <w:pPr>
              <w:pStyle w:val="PlainText"/>
              <w:rPr>
                <w:rFonts w:ascii="Times New Roman" w:hAnsi="Times New Roman"/>
                <w:sz w:val="24"/>
                <w:szCs w:val="24"/>
              </w:rPr>
            </w:pPr>
            <w:r>
              <w:rPr>
                <w:rFonts w:ascii="Times New Roman" w:hAnsi="Times New Roman"/>
                <w:sz w:val="24"/>
                <w:szCs w:val="24"/>
              </w:rPr>
              <w:t>market inequality</w:t>
            </w:r>
          </w:p>
        </w:tc>
        <w:tc>
          <w:tcPr>
            <w:tcW w:w="1526" w:type="dxa"/>
          </w:tcPr>
          <w:p w14:paraId="55A048EA" w14:textId="77777777" w:rsidR="00C779D1" w:rsidRPr="00C779D1" w:rsidRDefault="00C779D1" w:rsidP="00C779D1">
            <w:pPr>
              <w:pStyle w:val="PlainText"/>
              <w:rPr>
                <w:rFonts w:ascii="Times New Roman" w:hAnsi="Times New Roman"/>
                <w:sz w:val="24"/>
                <w:szCs w:val="24"/>
              </w:rPr>
            </w:pPr>
          </w:p>
        </w:tc>
        <w:tc>
          <w:tcPr>
            <w:tcW w:w="1526" w:type="dxa"/>
          </w:tcPr>
          <w:p w14:paraId="011A1925" w14:textId="30CA6765" w:rsidR="00C779D1" w:rsidRPr="00C779D1" w:rsidRDefault="00C779D1" w:rsidP="00C779D1">
            <w:r w:rsidRPr="00C779D1">
              <w:t>1.163***</w:t>
            </w:r>
          </w:p>
        </w:tc>
        <w:tc>
          <w:tcPr>
            <w:tcW w:w="1526" w:type="dxa"/>
          </w:tcPr>
          <w:p w14:paraId="614355A4" w14:textId="0BC82623" w:rsidR="00C779D1" w:rsidRPr="00C779D1" w:rsidRDefault="00C779D1" w:rsidP="00C779D1">
            <w:r w:rsidRPr="00C779D1">
              <w:t>1.136***</w:t>
            </w:r>
          </w:p>
        </w:tc>
        <w:tc>
          <w:tcPr>
            <w:tcW w:w="1527" w:type="dxa"/>
          </w:tcPr>
          <w:p w14:paraId="6F394D11" w14:textId="48F5AADB" w:rsidR="00C779D1" w:rsidRPr="00C779D1" w:rsidRDefault="00C779D1" w:rsidP="00C779D1">
            <w:r w:rsidRPr="00C779D1">
              <w:t>0.254**</w:t>
            </w:r>
          </w:p>
        </w:tc>
      </w:tr>
      <w:tr w:rsidR="00C779D1" w:rsidRPr="002C25D1" w14:paraId="7C287DE9" w14:textId="77777777" w:rsidTr="007E76F5">
        <w:tc>
          <w:tcPr>
            <w:tcW w:w="3348" w:type="dxa"/>
          </w:tcPr>
          <w:p w14:paraId="70EA2286" w14:textId="77777777" w:rsidR="00C779D1" w:rsidRPr="002C25D1" w:rsidRDefault="00C779D1" w:rsidP="00C779D1">
            <w:pPr>
              <w:pStyle w:val="PlainText"/>
              <w:rPr>
                <w:rFonts w:ascii="Times New Roman" w:hAnsi="Times New Roman"/>
                <w:sz w:val="24"/>
                <w:szCs w:val="24"/>
              </w:rPr>
            </w:pPr>
            <w:r>
              <w:rPr>
                <w:rFonts w:ascii="Times New Roman" w:hAnsi="Times New Roman"/>
                <w:sz w:val="24"/>
                <w:szCs w:val="24"/>
              </w:rPr>
              <w:t>exports</w:t>
            </w:r>
          </w:p>
        </w:tc>
        <w:tc>
          <w:tcPr>
            <w:tcW w:w="1526" w:type="dxa"/>
          </w:tcPr>
          <w:p w14:paraId="613B6AC2" w14:textId="77777777" w:rsidR="00C779D1" w:rsidRPr="00C779D1" w:rsidRDefault="00C779D1" w:rsidP="00C779D1">
            <w:pPr>
              <w:pStyle w:val="PlainText"/>
              <w:rPr>
                <w:rFonts w:ascii="Times New Roman" w:hAnsi="Times New Roman"/>
                <w:sz w:val="24"/>
                <w:szCs w:val="24"/>
              </w:rPr>
            </w:pPr>
          </w:p>
        </w:tc>
        <w:tc>
          <w:tcPr>
            <w:tcW w:w="1526" w:type="dxa"/>
          </w:tcPr>
          <w:p w14:paraId="3F7B8CE3" w14:textId="77777777" w:rsidR="00C779D1" w:rsidRPr="00C779D1" w:rsidRDefault="00C779D1" w:rsidP="00C779D1">
            <w:pPr>
              <w:pStyle w:val="PlainText"/>
              <w:rPr>
                <w:rFonts w:ascii="Times New Roman" w:hAnsi="Times New Roman"/>
                <w:sz w:val="24"/>
                <w:szCs w:val="24"/>
              </w:rPr>
            </w:pPr>
          </w:p>
        </w:tc>
        <w:tc>
          <w:tcPr>
            <w:tcW w:w="1526" w:type="dxa"/>
          </w:tcPr>
          <w:p w14:paraId="01D8B656" w14:textId="18D84B23" w:rsidR="00C779D1" w:rsidRPr="00C779D1" w:rsidRDefault="0001334D" w:rsidP="00C779D1">
            <w:pPr>
              <w:pStyle w:val="PlainText"/>
              <w:rPr>
                <w:rFonts w:ascii="Times New Roman" w:hAnsi="Times New Roman"/>
                <w:sz w:val="24"/>
                <w:szCs w:val="24"/>
              </w:rPr>
            </w:pPr>
            <w:r>
              <w:rPr>
                <w:rFonts w:ascii="Times New Roman" w:hAnsi="Times New Roman"/>
                <w:sz w:val="24"/>
                <w:szCs w:val="24"/>
              </w:rPr>
              <w:t>0.000</w:t>
            </w:r>
          </w:p>
        </w:tc>
        <w:tc>
          <w:tcPr>
            <w:tcW w:w="1527" w:type="dxa"/>
          </w:tcPr>
          <w:p w14:paraId="71D7BADC" w14:textId="27049630" w:rsidR="00C779D1" w:rsidRPr="00C779D1" w:rsidRDefault="0001334D" w:rsidP="00C779D1">
            <w:r>
              <w:t>-0.000*</w:t>
            </w:r>
          </w:p>
        </w:tc>
      </w:tr>
      <w:tr w:rsidR="00C779D1" w:rsidRPr="002C25D1" w14:paraId="421582BF" w14:textId="77777777" w:rsidTr="007E76F5">
        <w:tc>
          <w:tcPr>
            <w:tcW w:w="3348" w:type="dxa"/>
          </w:tcPr>
          <w:p w14:paraId="38734B75" w14:textId="77777777" w:rsidR="00C779D1" w:rsidRDefault="00C779D1" w:rsidP="00C779D1">
            <w:pPr>
              <w:pStyle w:val="PlainText"/>
              <w:rPr>
                <w:rFonts w:ascii="Times New Roman" w:hAnsi="Times New Roman"/>
                <w:sz w:val="24"/>
                <w:szCs w:val="24"/>
              </w:rPr>
            </w:pPr>
            <w:r>
              <w:rPr>
                <w:rFonts w:ascii="Times New Roman" w:hAnsi="Times New Roman"/>
                <w:sz w:val="24"/>
                <w:szCs w:val="24"/>
              </w:rPr>
              <w:t>Ethnic fractionalization</w:t>
            </w:r>
          </w:p>
        </w:tc>
        <w:tc>
          <w:tcPr>
            <w:tcW w:w="1526" w:type="dxa"/>
          </w:tcPr>
          <w:p w14:paraId="3A228C10" w14:textId="77777777" w:rsidR="00C779D1" w:rsidRPr="00C779D1" w:rsidRDefault="00C779D1" w:rsidP="00C779D1">
            <w:pPr>
              <w:pStyle w:val="PlainText"/>
              <w:rPr>
                <w:rFonts w:ascii="Times New Roman" w:hAnsi="Times New Roman"/>
                <w:sz w:val="24"/>
                <w:szCs w:val="24"/>
              </w:rPr>
            </w:pPr>
          </w:p>
        </w:tc>
        <w:tc>
          <w:tcPr>
            <w:tcW w:w="1526" w:type="dxa"/>
          </w:tcPr>
          <w:p w14:paraId="5A64235E" w14:textId="77777777" w:rsidR="00C779D1" w:rsidRPr="00C779D1" w:rsidRDefault="00C779D1" w:rsidP="00C779D1">
            <w:pPr>
              <w:pStyle w:val="PlainText"/>
              <w:rPr>
                <w:rFonts w:ascii="Times New Roman" w:hAnsi="Times New Roman"/>
                <w:sz w:val="24"/>
                <w:szCs w:val="24"/>
              </w:rPr>
            </w:pPr>
          </w:p>
        </w:tc>
        <w:tc>
          <w:tcPr>
            <w:tcW w:w="1526" w:type="dxa"/>
          </w:tcPr>
          <w:p w14:paraId="4EADBA05" w14:textId="3F8800B8" w:rsidR="00C779D1" w:rsidRPr="00C779D1" w:rsidRDefault="00C779D1" w:rsidP="00C779D1">
            <w:pPr>
              <w:pStyle w:val="PlainText"/>
              <w:rPr>
                <w:rFonts w:ascii="Times New Roman" w:hAnsi="Times New Roman"/>
                <w:sz w:val="24"/>
                <w:szCs w:val="24"/>
              </w:rPr>
            </w:pPr>
          </w:p>
        </w:tc>
        <w:tc>
          <w:tcPr>
            <w:tcW w:w="1527" w:type="dxa"/>
          </w:tcPr>
          <w:p w14:paraId="79C628BB" w14:textId="50622F03" w:rsidR="00C779D1" w:rsidRPr="00C779D1" w:rsidRDefault="0001334D" w:rsidP="00C779D1">
            <w:r w:rsidRPr="00C779D1">
              <w:t>-1.556</w:t>
            </w:r>
          </w:p>
        </w:tc>
      </w:tr>
      <w:tr w:rsidR="00C779D1" w:rsidRPr="002C25D1" w14:paraId="13AD852C" w14:textId="77777777" w:rsidTr="007E76F5">
        <w:tc>
          <w:tcPr>
            <w:tcW w:w="3348" w:type="dxa"/>
          </w:tcPr>
          <w:p w14:paraId="4E45BA1E" w14:textId="77777777" w:rsidR="00C779D1" w:rsidRPr="002C25D1" w:rsidRDefault="00C779D1" w:rsidP="00C779D1">
            <w:pPr>
              <w:pStyle w:val="PlainText"/>
              <w:rPr>
                <w:rFonts w:ascii="Times New Roman" w:hAnsi="Times New Roman"/>
                <w:sz w:val="24"/>
                <w:szCs w:val="24"/>
              </w:rPr>
            </w:pPr>
            <w:r w:rsidRPr="002C25D1">
              <w:rPr>
                <w:rFonts w:ascii="Times New Roman" w:hAnsi="Times New Roman"/>
                <w:sz w:val="24"/>
                <w:szCs w:val="24"/>
              </w:rPr>
              <w:t>Observations</w:t>
            </w:r>
          </w:p>
        </w:tc>
        <w:tc>
          <w:tcPr>
            <w:tcW w:w="1526" w:type="dxa"/>
          </w:tcPr>
          <w:p w14:paraId="6401FDD8" w14:textId="19E8DD03" w:rsidR="00C779D1" w:rsidRPr="00C779D1" w:rsidRDefault="00C779D1" w:rsidP="00C779D1">
            <w:r w:rsidRPr="00C779D1">
              <w:t>643</w:t>
            </w:r>
          </w:p>
        </w:tc>
        <w:tc>
          <w:tcPr>
            <w:tcW w:w="1526" w:type="dxa"/>
          </w:tcPr>
          <w:p w14:paraId="3B74255B" w14:textId="516F7D6A" w:rsidR="00C779D1" w:rsidRPr="00C779D1" w:rsidRDefault="00C779D1" w:rsidP="00C779D1">
            <w:r w:rsidRPr="00C779D1">
              <w:t>643</w:t>
            </w:r>
          </w:p>
        </w:tc>
        <w:tc>
          <w:tcPr>
            <w:tcW w:w="1526" w:type="dxa"/>
          </w:tcPr>
          <w:p w14:paraId="71C9DE62" w14:textId="574AB106" w:rsidR="00C779D1" w:rsidRPr="00C779D1" w:rsidRDefault="00C779D1" w:rsidP="00C779D1">
            <w:r w:rsidRPr="00C779D1">
              <w:t>643</w:t>
            </w:r>
          </w:p>
        </w:tc>
        <w:tc>
          <w:tcPr>
            <w:tcW w:w="1527" w:type="dxa"/>
          </w:tcPr>
          <w:p w14:paraId="68655CFF" w14:textId="38F21290" w:rsidR="00C779D1" w:rsidRPr="00C779D1" w:rsidRDefault="00C779D1" w:rsidP="00C779D1">
            <w:r w:rsidRPr="00C779D1">
              <w:t>649</w:t>
            </w:r>
          </w:p>
        </w:tc>
      </w:tr>
      <w:tr w:rsidR="00C779D1" w:rsidRPr="002C25D1" w14:paraId="74215E82" w14:textId="77777777" w:rsidTr="007E76F5">
        <w:tc>
          <w:tcPr>
            <w:tcW w:w="3348" w:type="dxa"/>
          </w:tcPr>
          <w:p w14:paraId="02DA96FF" w14:textId="77777777" w:rsidR="00C779D1" w:rsidRPr="002C25D1" w:rsidRDefault="00101683" w:rsidP="00C779D1">
            <w:pPr>
              <w:pStyle w:val="PlainText"/>
              <w:rPr>
                <w:rFonts w:ascii="Times New Roman" w:hAnsi="Times New Roman"/>
                <w:sz w:val="24"/>
                <w:szCs w:val="24"/>
              </w:rPr>
            </w:pPr>
            <m:oMathPara>
              <m:oMathParaPr>
                <m:jc m:val="left"/>
              </m:oMathParaPr>
              <m:oMath>
                <m:sSup>
                  <m:sSupPr>
                    <m:ctrlPr>
                      <w:rPr>
                        <w:rFonts w:ascii="Cambria Math" w:hAnsi="Cambria Math"/>
                        <w:i/>
                      </w:rPr>
                    </m:ctrlPr>
                  </m:sSupPr>
                  <m:e>
                    <m:r>
                      <m:rPr>
                        <m:sty m:val="p"/>
                      </m:rPr>
                      <w:rPr>
                        <w:rFonts w:ascii="Cambria Math" w:hAnsi="Cambria Math" w:hint="eastAsia"/>
                      </w:rPr>
                      <m:t>R</m:t>
                    </m:r>
                  </m:e>
                  <m:sup>
                    <m:r>
                      <w:rPr>
                        <w:rFonts w:ascii="Cambria Math" w:hAnsi="Cambria Math" w:hint="eastAsia"/>
                      </w:rPr>
                      <m:t>2</m:t>
                    </m:r>
                  </m:sup>
                </m:sSup>
              </m:oMath>
            </m:oMathPara>
          </w:p>
        </w:tc>
        <w:tc>
          <w:tcPr>
            <w:tcW w:w="1526" w:type="dxa"/>
          </w:tcPr>
          <w:p w14:paraId="16DF55FC" w14:textId="0C90F10D" w:rsidR="00C779D1" w:rsidRPr="00C779D1" w:rsidRDefault="00C779D1" w:rsidP="00C779D1">
            <w:r w:rsidRPr="00C779D1">
              <w:t>0.687</w:t>
            </w:r>
          </w:p>
        </w:tc>
        <w:tc>
          <w:tcPr>
            <w:tcW w:w="1526" w:type="dxa"/>
          </w:tcPr>
          <w:p w14:paraId="10F25182" w14:textId="3A16C695" w:rsidR="00C779D1" w:rsidRPr="00C779D1" w:rsidRDefault="00C779D1" w:rsidP="00C779D1">
            <w:r w:rsidRPr="00C779D1">
              <w:t>0.568</w:t>
            </w:r>
          </w:p>
        </w:tc>
        <w:tc>
          <w:tcPr>
            <w:tcW w:w="1526" w:type="dxa"/>
          </w:tcPr>
          <w:p w14:paraId="3B2DB21B" w14:textId="6EEC5A35" w:rsidR="00C779D1" w:rsidRPr="00C779D1" w:rsidRDefault="00C779D1" w:rsidP="00C779D1">
            <w:r w:rsidRPr="00C779D1">
              <w:t>0.582</w:t>
            </w:r>
          </w:p>
        </w:tc>
        <w:tc>
          <w:tcPr>
            <w:tcW w:w="1527" w:type="dxa"/>
          </w:tcPr>
          <w:p w14:paraId="63169364" w14:textId="77777777" w:rsidR="00C779D1" w:rsidRPr="00C779D1" w:rsidRDefault="00C779D1" w:rsidP="00C779D1"/>
        </w:tc>
      </w:tr>
      <w:tr w:rsidR="00C779D1" w:rsidRPr="002C25D1" w14:paraId="09CECD8D" w14:textId="77777777" w:rsidTr="007E76F5">
        <w:tc>
          <w:tcPr>
            <w:tcW w:w="3348" w:type="dxa"/>
          </w:tcPr>
          <w:p w14:paraId="3F3392BE" w14:textId="77777777" w:rsidR="00C779D1" w:rsidRPr="002C25D1" w:rsidRDefault="00C779D1" w:rsidP="00C779D1">
            <w:pPr>
              <w:pStyle w:val="PlainText"/>
              <w:rPr>
                <w:rFonts w:ascii="Times New Roman" w:hAnsi="Times New Roman"/>
                <w:sz w:val="24"/>
                <w:szCs w:val="24"/>
              </w:rPr>
            </w:pPr>
            <w:r w:rsidRPr="002C25D1">
              <w:rPr>
                <w:rFonts w:ascii="Times New Roman" w:hAnsi="Times New Roman"/>
                <w:sz w:val="24"/>
                <w:szCs w:val="24"/>
              </w:rPr>
              <w:t>Number of nation</w:t>
            </w:r>
            <w:r>
              <w:rPr>
                <w:rFonts w:ascii="Times New Roman" w:hAnsi="Times New Roman"/>
                <w:sz w:val="24"/>
                <w:szCs w:val="24"/>
              </w:rPr>
              <w:t>s</w:t>
            </w:r>
          </w:p>
        </w:tc>
        <w:tc>
          <w:tcPr>
            <w:tcW w:w="1526" w:type="dxa"/>
          </w:tcPr>
          <w:p w14:paraId="3891640E" w14:textId="4DD2DA06" w:rsidR="00C779D1" w:rsidRPr="00C779D1" w:rsidRDefault="00C779D1" w:rsidP="00C779D1">
            <w:r w:rsidRPr="00C779D1">
              <w:t>40</w:t>
            </w:r>
          </w:p>
        </w:tc>
        <w:tc>
          <w:tcPr>
            <w:tcW w:w="1526" w:type="dxa"/>
          </w:tcPr>
          <w:p w14:paraId="3CB84F8B" w14:textId="5740990C" w:rsidR="00C779D1" w:rsidRPr="00C779D1" w:rsidRDefault="00C779D1" w:rsidP="00C779D1">
            <w:r w:rsidRPr="00C779D1">
              <w:t>40</w:t>
            </w:r>
          </w:p>
        </w:tc>
        <w:tc>
          <w:tcPr>
            <w:tcW w:w="1526" w:type="dxa"/>
          </w:tcPr>
          <w:p w14:paraId="05D054E7" w14:textId="47820853" w:rsidR="00C779D1" w:rsidRPr="00C779D1" w:rsidRDefault="00C779D1" w:rsidP="00C779D1">
            <w:r w:rsidRPr="00C779D1">
              <w:t>40</w:t>
            </w:r>
          </w:p>
        </w:tc>
        <w:tc>
          <w:tcPr>
            <w:tcW w:w="1527" w:type="dxa"/>
          </w:tcPr>
          <w:p w14:paraId="2455C762" w14:textId="527AA076" w:rsidR="00C779D1" w:rsidRPr="00C779D1" w:rsidRDefault="00C779D1" w:rsidP="00C779D1">
            <w:r w:rsidRPr="00C779D1">
              <w:t>40</w:t>
            </w:r>
          </w:p>
        </w:tc>
      </w:tr>
    </w:tbl>
    <w:p w14:paraId="5DB0509E" w14:textId="5B848CB7" w:rsidR="002D7707" w:rsidRPr="00BD2B9F" w:rsidRDefault="002D7707" w:rsidP="00D75026">
      <w:pPr>
        <w:widowControl w:val="0"/>
        <w:autoSpaceDE w:val="0"/>
        <w:autoSpaceDN w:val="0"/>
        <w:adjustRightInd w:val="0"/>
        <w:spacing w:before="79" w:after="79"/>
      </w:pPr>
      <w:r>
        <w:t>Note:</w:t>
      </w:r>
      <w:r w:rsidR="003C1320">
        <w:t xml:space="preserve"> </w:t>
      </w:r>
      <w:r w:rsidRPr="00BD2B9F">
        <w:t xml:space="preserve">* </w:t>
      </w:r>
      <w:r w:rsidRPr="00BD2B9F">
        <w:rPr>
          <w:i/>
          <w:iCs/>
        </w:rPr>
        <w:t>p</w:t>
      </w:r>
      <w:r w:rsidRPr="00BD2B9F">
        <w:t xml:space="preserve">&lt;0.1; ** </w:t>
      </w:r>
      <w:r w:rsidRPr="00BD2B9F">
        <w:rPr>
          <w:i/>
          <w:iCs/>
        </w:rPr>
        <w:t>p</w:t>
      </w:r>
      <w:r w:rsidRPr="00BD2B9F">
        <w:t xml:space="preserve">&lt;0.05; *** </w:t>
      </w:r>
      <w:r w:rsidRPr="00BD2B9F">
        <w:rPr>
          <w:i/>
          <w:iCs/>
        </w:rPr>
        <w:t>p</w:t>
      </w:r>
      <w:r w:rsidRPr="00BD2B9F">
        <w:t xml:space="preserve">&lt;0.01. Unstandardized coefficients reported. </w:t>
      </w:r>
      <w:r w:rsidR="00F15C74">
        <w:t>To save space, we do not report the intercept</w:t>
      </w:r>
      <w:r>
        <w:t xml:space="preserve"> </w:t>
      </w:r>
      <w:r w:rsidR="00BF7941">
        <w:t>and standard errors</w:t>
      </w:r>
      <w:r>
        <w:t>.</w:t>
      </w:r>
    </w:p>
    <w:p w14:paraId="5011B8A8" w14:textId="77777777" w:rsidR="002D7707" w:rsidRPr="00BD2B9F" w:rsidRDefault="002D7707" w:rsidP="008E164D">
      <w:pPr>
        <w:widowControl w:val="0"/>
        <w:autoSpaceDE w:val="0"/>
        <w:autoSpaceDN w:val="0"/>
        <w:adjustRightInd w:val="0"/>
        <w:spacing w:before="79" w:after="79"/>
        <w:jc w:val="center"/>
      </w:pPr>
    </w:p>
    <w:p w14:paraId="52E5D727" w14:textId="1F9D5DAB" w:rsidR="002D7707" w:rsidRPr="00BD2B9F" w:rsidRDefault="002D7707" w:rsidP="002344F4">
      <w:pPr>
        <w:spacing w:line="480" w:lineRule="auto"/>
        <w:jc w:val="both"/>
      </w:pPr>
      <w:r w:rsidRPr="00BD2B9F">
        <w:tab/>
      </w:r>
      <w:r w:rsidR="0020300F">
        <w:t>G</w:t>
      </w:r>
      <w:r w:rsidR="0045325B">
        <w:t xml:space="preserve">reater participation by women in the labor force </w:t>
      </w:r>
      <w:r w:rsidR="0097198B">
        <w:t>tends to be associated with</w:t>
      </w:r>
      <w:r w:rsidR="0045325B">
        <w:t xml:space="preserve"> better opportunities for </w:t>
      </w:r>
      <w:r w:rsidR="0020300F">
        <w:t>them</w:t>
      </w:r>
      <w:r w:rsidR="0045325B">
        <w:t xml:space="preserve"> in the formal sector, which tends to compensate laborers better</w:t>
      </w:r>
      <w:r w:rsidR="0020300F">
        <w:t xml:space="preserve"> than the informal sector</w:t>
      </w:r>
      <w:r w:rsidR="0097198B">
        <w:t xml:space="preserve"> of the economy</w:t>
      </w:r>
      <w:r w:rsidR="0045325B">
        <w:t xml:space="preserve">. As a large literature has established, </w:t>
      </w:r>
      <w:r w:rsidR="0045325B" w:rsidRPr="00627B0D">
        <w:rPr>
          <w:i/>
        </w:rPr>
        <w:t>corporatism</w:t>
      </w:r>
      <w:r w:rsidR="0045325B">
        <w:t xml:space="preserve"> compresses wage differentials between skilled and unskilled workers, reducing wage inequalities. </w:t>
      </w:r>
      <w:r w:rsidRPr="00BD2B9F">
        <w:t xml:space="preserve">We surmise that </w:t>
      </w:r>
      <w:r w:rsidRPr="00BD2B9F">
        <w:rPr>
          <w:i/>
        </w:rPr>
        <w:t>unemployment</w:t>
      </w:r>
      <w:r w:rsidRPr="00BD2B9F">
        <w:t xml:space="preserve"> increases gaps in market income precisely because it deprives some of this income. The </w:t>
      </w:r>
      <w:r w:rsidRPr="00BD2B9F">
        <w:rPr>
          <w:i/>
        </w:rPr>
        <w:t>age dependency ratio</w:t>
      </w:r>
      <w:r w:rsidRPr="00BD2B9F">
        <w:t xml:space="preserve"> also results in higher market inequality because it implies a larger ratio of economically inactive citizens over those that are active in the labor force. We expected </w:t>
      </w:r>
      <w:r w:rsidRPr="00BD2B9F">
        <w:rPr>
          <w:i/>
        </w:rPr>
        <w:t>economic development</w:t>
      </w:r>
      <w:r w:rsidRPr="00BD2B9F">
        <w:t xml:space="preserve"> to be associated with decreases in market income inequality, but the coefficient is positive. From visually inspecting the data, </w:t>
      </w:r>
      <w:r w:rsidR="00AD5333">
        <w:t xml:space="preserve">we cannot detect </w:t>
      </w:r>
      <w:r>
        <w:t>a clear trend in either direction</w:t>
      </w:r>
      <w:r w:rsidRPr="00BD2B9F">
        <w:rPr>
          <w:lang w:eastAsia="ko-KR"/>
        </w:rPr>
        <w:t>.</w:t>
      </w:r>
      <w:r w:rsidRPr="00BD2B9F">
        <w:t xml:space="preserve"> </w:t>
      </w:r>
    </w:p>
    <w:p w14:paraId="567BD001" w14:textId="731F2523" w:rsidR="002D7707" w:rsidRPr="00BD2B9F" w:rsidRDefault="002D7707" w:rsidP="002344F4">
      <w:pPr>
        <w:spacing w:line="480" w:lineRule="auto"/>
        <w:jc w:val="both"/>
      </w:pPr>
      <w:r w:rsidRPr="00BD2B9F">
        <w:tab/>
        <w:t xml:space="preserve">Regarding the suitability of the instrumentation strategy, our discussion pertains to both the 2SLS and the feasible efficient GMM estimations, since the estimation strategy for the first stage is the same for both. The </w:t>
      </w:r>
      <w:r w:rsidRPr="00DA1FCA">
        <w:t xml:space="preserve">Sanderson-Windmeijer </w:t>
      </w:r>
      <w:r>
        <w:t xml:space="preserve">(SW) chi-squared Wald statistic </w:t>
      </w:r>
      <w:r w:rsidRPr="00BD2B9F">
        <w:t>has a p-value of 0, indicating a strong rejection of the null hypothesis that the endogenous regressor (</w:t>
      </w:r>
      <w:r w:rsidRPr="00BD2B9F">
        <w:rPr>
          <w:i/>
        </w:rPr>
        <w:t>market inequality</w:t>
      </w:r>
      <w:r w:rsidRPr="00BD2B9F">
        <w:t xml:space="preserve">) is unidentified. The </w:t>
      </w:r>
      <w:r>
        <w:t>SW</w:t>
      </w:r>
      <w:r w:rsidRPr="00BD2B9F">
        <w:t xml:space="preserve"> first-stage F statistic is </w:t>
      </w:r>
      <w:r w:rsidR="002E70FF">
        <w:t>94.28</w:t>
      </w:r>
      <w:r w:rsidRPr="00BD2B9F">
        <w:t xml:space="preserve">, which is greater than 10, allowing us to reject the null hypothesis that our instruments are weak (Staiger and Stock </w:t>
      </w:r>
      <w:r w:rsidRPr="00BD2B9F">
        <w:lastRenderedPageBreak/>
        <w:t>1997).</w:t>
      </w:r>
      <w:r w:rsidRPr="00BD2B9F">
        <w:rPr>
          <w:rStyle w:val="FootnoteReference"/>
        </w:rPr>
        <w:footnoteReference w:id="27"/>
      </w:r>
      <w:r w:rsidRPr="00BD2B9F">
        <w:t xml:space="preserve"> The Kleibergen-Paap LM test rejects the null hypothesis that the equation as a whole is under identified (</w:t>
      </w:r>
      <w:r w:rsidRPr="00BD2B9F">
        <w:rPr>
          <w:i/>
        </w:rPr>
        <w:t>p</w:t>
      </w:r>
      <w:r w:rsidRPr="00BD2B9F">
        <w:t>=0.00</w:t>
      </w:r>
      <w:r>
        <w:t>0</w:t>
      </w:r>
      <w:r w:rsidRPr="00BD2B9F">
        <w:t>). The Anderson–Rubin Wald test and Stock–Wright LM test also handily reject their null hypothesis that the endogenous regressors are irrelevant. The Hansen J</w:t>
      </w:r>
      <w:r w:rsidRPr="00BD2B9F">
        <w:rPr>
          <w:i/>
        </w:rPr>
        <w:t xml:space="preserve"> </w:t>
      </w:r>
      <w:r w:rsidRPr="00BD2B9F">
        <w:t xml:space="preserve">statistic readily accepts the null that that the instruments are valid (i.e., uncorrelated with the error term), and that the excluded instruments are correctly excluded from the estimated equation </w:t>
      </w:r>
      <w:r w:rsidRPr="00D6113F">
        <w:t>(</w:t>
      </w:r>
      <w:r w:rsidRPr="00D6113F">
        <w:rPr>
          <w:i/>
        </w:rPr>
        <w:t>p</w:t>
      </w:r>
      <w:r w:rsidRPr="00D6113F">
        <w:t>= 0.</w:t>
      </w:r>
      <w:r w:rsidR="002E70FF" w:rsidRPr="00D6113F">
        <w:t>161</w:t>
      </w:r>
      <w:r w:rsidRPr="00BD2B9F">
        <w:t xml:space="preserve">). Finally, the endogeneity test strongly rejects the null hypothesis that </w:t>
      </w:r>
      <w:r w:rsidR="000318D7">
        <w:t xml:space="preserve">we can actually treat the endogenous regressor we specified as </w:t>
      </w:r>
      <w:r w:rsidRPr="00BD2B9F">
        <w:t xml:space="preserve">exogenous. </w:t>
      </w:r>
    </w:p>
    <w:p w14:paraId="66E79239" w14:textId="0CE09C84" w:rsidR="002D7707" w:rsidRPr="00BD2B9F" w:rsidRDefault="002D7707" w:rsidP="002344F4">
      <w:pPr>
        <w:spacing w:line="480" w:lineRule="auto"/>
        <w:jc w:val="both"/>
      </w:pPr>
      <w:r w:rsidRPr="00BD2B9F">
        <w:tab/>
        <w:t xml:space="preserve">Turning now to the second stage of the 2SLS and feasible efficient GMM models, both sets of results share strong similarities. Coefficients vary slightly in size between the two, but both models indicate that increases in </w:t>
      </w:r>
      <w:r w:rsidRPr="003D2DE9">
        <w:rPr>
          <w:i/>
        </w:rPr>
        <w:t>market inequality</w:t>
      </w:r>
      <w:r>
        <w:t xml:space="preserve"> and </w:t>
      </w:r>
      <w:r w:rsidRPr="003D2DE9">
        <w:rPr>
          <w:i/>
        </w:rPr>
        <w:t>female labor force participation</w:t>
      </w:r>
      <w:r w:rsidRPr="00BD2B9F">
        <w:t xml:space="preserve"> are positively and significantly related to increased </w:t>
      </w:r>
      <w:r w:rsidRPr="003D2DE9">
        <w:rPr>
          <w:i/>
        </w:rPr>
        <w:t>redistribution</w:t>
      </w:r>
      <w:r w:rsidRPr="00BD2B9F">
        <w:t xml:space="preserve">; and that </w:t>
      </w:r>
      <w:r w:rsidRPr="003D2DE9">
        <w:rPr>
          <w:i/>
        </w:rPr>
        <w:t>unemployment</w:t>
      </w:r>
      <w:r w:rsidRPr="00BD2B9F">
        <w:t xml:space="preserve"> in the previous year and the </w:t>
      </w:r>
      <w:r w:rsidRPr="003D2DE9">
        <w:rPr>
          <w:i/>
        </w:rPr>
        <w:t>age dependency ratio</w:t>
      </w:r>
      <w:r w:rsidRPr="00BD2B9F">
        <w:t xml:space="preserve"> are significantly related to decreased redistribution. These findings are expected except for the negative association between the </w:t>
      </w:r>
      <w:r w:rsidRPr="003D2DE9">
        <w:rPr>
          <w:i/>
        </w:rPr>
        <w:t>age dependency ratio</w:t>
      </w:r>
      <w:r w:rsidRPr="00BD2B9F">
        <w:t xml:space="preserve"> and </w:t>
      </w:r>
      <w:r w:rsidRPr="003D2DE9">
        <w:rPr>
          <w:i/>
        </w:rPr>
        <w:t>redistribution</w:t>
      </w:r>
      <w:r w:rsidRPr="00BD2B9F">
        <w:t xml:space="preserve">, and </w:t>
      </w:r>
      <w:r w:rsidRPr="003D2DE9">
        <w:rPr>
          <w:i/>
        </w:rPr>
        <w:t>unemployment</w:t>
      </w:r>
      <w:r w:rsidRPr="00BD2B9F">
        <w:t xml:space="preserve"> and </w:t>
      </w:r>
      <w:r w:rsidRPr="003D2DE9">
        <w:rPr>
          <w:i/>
        </w:rPr>
        <w:t>redistribution</w:t>
      </w:r>
      <w:r w:rsidRPr="00BD2B9F">
        <w:t xml:space="preserve">. </w:t>
      </w:r>
      <w:r w:rsidR="00502C25">
        <w:t>T</w:t>
      </w:r>
      <w:r w:rsidRPr="00BD2B9F">
        <w:t xml:space="preserve">he latter relationship is driven by </w:t>
      </w:r>
      <w:r>
        <w:t>countries</w:t>
      </w:r>
      <w:r w:rsidRPr="00BD2B9F">
        <w:t xml:space="preserve"> with high unemployment rates such as Spain and South Africa. </w:t>
      </w:r>
      <w:r>
        <w:t xml:space="preserve">Regarding the </w:t>
      </w:r>
      <w:r w:rsidRPr="003D2DE9">
        <w:rPr>
          <w:i/>
        </w:rPr>
        <w:t>age dependency ratio</w:t>
      </w:r>
      <w:r>
        <w:t xml:space="preserve">, Huber and Stephens (2014, 259) find that a similar measure, employment as a percentage of the working age population, significantly decreases income redistribution. </w:t>
      </w:r>
    </w:p>
    <w:p w14:paraId="5CE18912" w14:textId="46C73740" w:rsidR="002D7707" w:rsidRPr="00BD2B9F" w:rsidRDefault="002D7707" w:rsidP="002344F4">
      <w:pPr>
        <w:spacing w:line="480" w:lineRule="auto"/>
        <w:jc w:val="both"/>
      </w:pPr>
      <w:r w:rsidRPr="00BD2B9F">
        <w:tab/>
      </w:r>
      <w:r w:rsidR="00697C66">
        <w:t>Regarding</w:t>
      </w:r>
      <w:r w:rsidRPr="00BD2B9F">
        <w:t xml:space="preserve"> the system GMM estimation, the </w:t>
      </w:r>
      <w:r w:rsidR="00F302E2">
        <w:t>findings resemble</w:t>
      </w:r>
      <w:r w:rsidR="00B95152">
        <w:t xml:space="preserve"> </w:t>
      </w:r>
      <w:r w:rsidR="00F302E2">
        <w:t xml:space="preserve">the </w:t>
      </w:r>
      <w:r w:rsidR="00B95152">
        <w:t>previous</w:t>
      </w:r>
      <w:r w:rsidRPr="00BD2B9F">
        <w:t xml:space="preserve"> </w:t>
      </w:r>
      <w:r w:rsidR="00F302E2">
        <w:t xml:space="preserve">two </w:t>
      </w:r>
      <w:r w:rsidRPr="00BD2B9F">
        <w:t>models</w:t>
      </w:r>
      <w:r w:rsidR="00977C11">
        <w:t xml:space="preserve"> with the exception of </w:t>
      </w:r>
      <w:r w:rsidR="00977C11">
        <w:rPr>
          <w:i/>
        </w:rPr>
        <w:t>corporatism</w:t>
      </w:r>
      <w:r w:rsidR="00977C11">
        <w:t xml:space="preserve">, whose positive and significant effect on </w:t>
      </w:r>
      <w:r w:rsidR="00977C11" w:rsidRPr="003D2DE9">
        <w:rPr>
          <w:i/>
        </w:rPr>
        <w:t>redistribution</w:t>
      </w:r>
      <w:r w:rsidR="00977C11">
        <w:t xml:space="preserve"> is in agreement with the results of the 2SLS but not the feasible efficient GMM specification</w:t>
      </w:r>
      <w:r w:rsidRPr="00BD2B9F">
        <w:t xml:space="preserve">. The very significant coefficient on the lagged dependent variable indicates however that most redistribution </w:t>
      </w:r>
      <w:r w:rsidRPr="00BD2B9F">
        <w:lastRenderedPageBreak/>
        <w:t xml:space="preserve">in a given country-year is primarily a function of redistribution in that country in the previous year. For the purposes of comparison and using this model, we simulate the effects on redistribution of an increase in lagged redistribution and inequality from the minimum to the maximum values observed for these variables, respectively. The result is </w:t>
      </w:r>
      <w:r w:rsidR="001D6293" w:rsidRPr="00BD2B9F">
        <w:t>an</w:t>
      </w:r>
      <w:r w:rsidRPr="00BD2B9F">
        <w:t xml:space="preserve"> </w:t>
      </w:r>
      <w:r w:rsidR="00F4248F">
        <w:t>88.11</w:t>
      </w:r>
      <w:r w:rsidRPr="00BD2B9F">
        <w:t xml:space="preserve"> versus a </w:t>
      </w:r>
      <w:r w:rsidR="00F4248F">
        <w:t>35.17</w:t>
      </w:r>
      <w:r w:rsidRPr="00BD2B9F">
        <w:t xml:space="preserve"> percentage point increase.</w:t>
      </w:r>
      <w:r w:rsidRPr="00BD2B9F">
        <w:rPr>
          <w:rStyle w:val="FootnoteReference"/>
        </w:rPr>
        <w:footnoteReference w:id="28"/>
      </w:r>
      <w:r w:rsidRPr="00BD2B9F">
        <w:t xml:space="preserve">  </w:t>
      </w:r>
    </w:p>
    <w:p w14:paraId="535454C0" w14:textId="1A3709B5" w:rsidR="002D7707" w:rsidRPr="00BD2B9F" w:rsidRDefault="002D7707" w:rsidP="002344F4">
      <w:pPr>
        <w:spacing w:line="480" w:lineRule="auto"/>
        <w:ind w:firstLine="720"/>
        <w:jc w:val="both"/>
      </w:pPr>
      <w:r w:rsidRPr="00BD2B9F">
        <w:t xml:space="preserve">Diagnostics also indicate </w:t>
      </w:r>
      <w:r w:rsidR="00CC7952">
        <w:t>that we have properly specified our models</w:t>
      </w:r>
      <w:r w:rsidRPr="00BD2B9F">
        <w:t xml:space="preserve">. </w:t>
      </w:r>
      <w:r w:rsidRPr="00BD2B9F">
        <w:rPr>
          <w:iCs/>
        </w:rPr>
        <w:t xml:space="preserve">Arellano-Bond tests fail to find autocorrelation in the </w:t>
      </w:r>
      <w:r w:rsidR="000F1EAD">
        <w:rPr>
          <w:iCs/>
        </w:rPr>
        <w:t xml:space="preserve">AR </w:t>
      </w:r>
      <w:r w:rsidR="00B05E38" w:rsidRPr="00BD2B9F">
        <w:rPr>
          <w:iCs/>
        </w:rPr>
        <w:t>(</w:t>
      </w:r>
      <w:r w:rsidRPr="00BD2B9F">
        <w:rPr>
          <w:iCs/>
        </w:rPr>
        <w:t>2) residuals.</w:t>
      </w:r>
      <w:r w:rsidRPr="00BD2B9F">
        <w:rPr>
          <w:rStyle w:val="FootnoteReference"/>
          <w:iCs/>
        </w:rPr>
        <w:footnoteReference w:id="29"/>
      </w:r>
      <w:r w:rsidRPr="00BD2B9F">
        <w:rPr>
          <w:iCs/>
        </w:rPr>
        <w:t xml:space="preserve"> </w:t>
      </w:r>
      <w:r w:rsidRPr="00BD2B9F">
        <w:t xml:space="preserve">The Hansen J statistic tests the null hypothesis that </w:t>
      </w:r>
      <w:r w:rsidR="000318D7">
        <w:t xml:space="preserve">we can regard </w:t>
      </w:r>
      <w:r w:rsidRPr="00BD2B9F">
        <w:t xml:space="preserve">the </w:t>
      </w:r>
      <w:r w:rsidR="001D01DF">
        <w:t xml:space="preserve">group of </w:t>
      </w:r>
      <w:r w:rsidRPr="00BD2B9F">
        <w:t>instruments as exogenous, which is indeed the case when we notice that its p-value is above 0 but less than 1 (Roodman 2009, 98). Difference-in-Hansen tests of exogeneity of instrument subsets also have p-values different from 0 but less than 1. Finally, although the statistical software does not report a coefficient of codetermination, plots of observed versus fitted values indicate the models fit the data very well.</w:t>
      </w:r>
    </w:p>
    <w:p w14:paraId="65442217" w14:textId="5E0D77B3" w:rsidR="002D7707" w:rsidRPr="00BD2B9F" w:rsidRDefault="002D7707" w:rsidP="002344F4">
      <w:pPr>
        <w:spacing w:line="480" w:lineRule="auto"/>
        <w:ind w:firstLine="720"/>
        <w:jc w:val="both"/>
        <w:rPr>
          <w:lang w:eastAsia="ko-KR"/>
        </w:rPr>
      </w:pPr>
      <w:r w:rsidRPr="00BD2B9F">
        <w:t>As informative as these results are, they tell us very little about how countries came to have such different levels of redistribution to begin with. Th</w:t>
      </w:r>
      <w:r w:rsidR="00B87063">
        <w:t>us, an</w:t>
      </w:r>
      <w:r w:rsidRPr="00BD2B9F">
        <w:t xml:space="preserve"> analysis of long-run dynamics becomes pertinent. </w:t>
      </w:r>
      <w:r w:rsidRPr="00BD2B9F">
        <w:rPr>
          <w:lang w:eastAsia="ko-KR"/>
        </w:rPr>
        <w:t xml:space="preserve">We turn our attention now to the ECMs, the results of which are displayed in Table </w:t>
      </w:r>
      <w:r w:rsidR="00FC2FA6">
        <w:rPr>
          <w:lang w:eastAsia="ko-KR"/>
        </w:rPr>
        <w:t>3</w:t>
      </w:r>
      <w:r w:rsidRPr="00BD2B9F">
        <w:rPr>
          <w:lang w:eastAsia="ko-KR"/>
        </w:rPr>
        <w:t>.</w:t>
      </w:r>
    </w:p>
    <w:p w14:paraId="01DCAC1E" w14:textId="77777777" w:rsidR="002D7707" w:rsidRPr="00BD2B9F" w:rsidRDefault="002D7707" w:rsidP="006D150D">
      <w:pPr>
        <w:ind w:firstLine="720"/>
      </w:pPr>
      <w:r w:rsidRPr="00BD2B9F">
        <w:rPr>
          <w:lang w:eastAsia="ko-KR"/>
        </w:rPr>
        <w:t xml:space="preserve"> </w:t>
      </w:r>
    </w:p>
    <w:p w14:paraId="09C3B39F" w14:textId="77777777" w:rsidR="002D7707" w:rsidRPr="00BD2B9F" w:rsidRDefault="002D7707" w:rsidP="006D150D">
      <w:pPr>
        <w:rPr>
          <w:lang w:eastAsia="ko-KR"/>
        </w:rPr>
      </w:pPr>
      <w:r w:rsidRPr="00BD2B9F">
        <w:t xml:space="preserve">Table </w:t>
      </w:r>
      <w:r w:rsidR="00FC2FA6">
        <w:t>3</w:t>
      </w:r>
      <w:r w:rsidRPr="00BD2B9F">
        <w:t>.  ECMs of the d</w:t>
      </w:r>
      <w:r w:rsidRPr="00BD2B9F">
        <w:rPr>
          <w:rFonts w:eastAsia="Times New Roman"/>
        </w:rPr>
        <w:t>eterminants of redistribution, 199</w:t>
      </w:r>
      <w:r>
        <w:rPr>
          <w:rFonts w:eastAsia="Times New Roman"/>
        </w:rPr>
        <w:t>3</w:t>
      </w:r>
      <w:r w:rsidRPr="00BD2B9F">
        <w:rPr>
          <w:rFonts w:eastAsia="Times New Roman"/>
        </w:rPr>
        <w:t>-201</w:t>
      </w:r>
      <w:r>
        <w:rPr>
          <w:rFonts w:eastAsia="Times New Roman"/>
        </w:rPr>
        <w:t>5</w:t>
      </w:r>
      <w:r w:rsidRPr="00BD2B9F">
        <w:rPr>
          <w:rFonts w:eastAsia="Times New Roman"/>
        </w:rPr>
        <w:t>.</w:t>
      </w:r>
    </w:p>
    <w:p w14:paraId="33CEA17F" w14:textId="77777777" w:rsidR="002D7707" w:rsidRPr="00BD2B9F" w:rsidRDefault="002D7707" w:rsidP="006D150D">
      <w:pPr>
        <w:rPr>
          <w:lang w:eastAsia="ko-KR"/>
        </w:rPr>
      </w:pPr>
    </w:p>
    <w:p w14:paraId="0AAAADFF" w14:textId="77777777" w:rsidR="002D7707" w:rsidRDefault="002D7707" w:rsidP="002C2A68">
      <w:pPr>
        <w:widowControl w:val="0"/>
        <w:autoSpaceDE w:val="0"/>
        <w:autoSpaceDN w:val="0"/>
        <w:adjustRightInd w:val="0"/>
        <w:spacing w:before="79" w:after="79"/>
        <w:rPr>
          <w:i/>
        </w:rPr>
        <w:sectPr w:rsidR="002D7707" w:rsidSect="006765C9">
          <w:endnotePr>
            <w:numFmt w:val="decimal"/>
          </w:endnotePr>
          <w:pgSz w:w="12240" w:h="15840"/>
          <w:pgMar w:top="1440" w:right="1440" w:bottom="1440" w:left="1440" w:header="720" w:footer="720" w:gutter="0"/>
          <w:cols w:space="720"/>
          <w:docGrid w:linePitch="360"/>
        </w:sectPr>
      </w:pPr>
    </w:p>
    <w:tbl>
      <w:tblPr>
        <w:tblW w:w="0" w:type="auto"/>
        <w:jc w:val="center"/>
        <w:tblCellMar>
          <w:left w:w="144" w:type="dxa"/>
          <w:right w:w="144" w:type="dxa"/>
        </w:tblCellMar>
        <w:tblLook w:val="0000" w:firstRow="0" w:lastRow="0" w:firstColumn="0" w:lastColumn="0" w:noHBand="0" w:noVBand="0"/>
      </w:tblPr>
      <w:tblGrid>
        <w:gridCol w:w="2835"/>
        <w:gridCol w:w="1698"/>
        <w:gridCol w:w="1708"/>
        <w:gridCol w:w="1686"/>
        <w:gridCol w:w="1564"/>
        <w:gridCol w:w="1688"/>
        <w:gridCol w:w="1781"/>
      </w:tblGrid>
      <w:tr w:rsidR="002D7707" w14:paraId="22171B1A" w14:textId="77777777" w:rsidTr="002C2A68">
        <w:trPr>
          <w:jc w:val="center"/>
        </w:trPr>
        <w:tc>
          <w:tcPr>
            <w:tcW w:w="2856" w:type="dxa"/>
            <w:tcBorders>
              <w:top w:val="single" w:sz="6" w:space="0" w:color="auto"/>
              <w:left w:val="nil"/>
              <w:bottom w:val="nil"/>
              <w:right w:val="nil"/>
            </w:tcBorders>
          </w:tcPr>
          <w:p w14:paraId="50E1BA15" w14:textId="77777777" w:rsidR="002D7707" w:rsidRPr="00AC1BDE" w:rsidRDefault="002D7707" w:rsidP="002C2A68">
            <w:pPr>
              <w:widowControl w:val="0"/>
              <w:autoSpaceDE w:val="0"/>
              <w:autoSpaceDN w:val="0"/>
              <w:adjustRightInd w:val="0"/>
              <w:spacing w:before="79" w:after="79"/>
              <w:rPr>
                <w:i/>
              </w:rPr>
            </w:pPr>
            <w:r w:rsidRPr="00AC1BDE">
              <w:rPr>
                <w:i/>
              </w:rPr>
              <w:lastRenderedPageBreak/>
              <w:t>Independent Variables</w:t>
            </w:r>
          </w:p>
        </w:tc>
        <w:tc>
          <w:tcPr>
            <w:tcW w:w="1742" w:type="dxa"/>
            <w:tcBorders>
              <w:top w:val="single" w:sz="6" w:space="0" w:color="auto"/>
              <w:left w:val="nil"/>
              <w:bottom w:val="nil"/>
              <w:right w:val="nil"/>
            </w:tcBorders>
          </w:tcPr>
          <w:p w14:paraId="7EACA0CA" w14:textId="77777777" w:rsidR="002D7707" w:rsidRDefault="002D7707" w:rsidP="002C2A68">
            <w:pPr>
              <w:widowControl w:val="0"/>
              <w:autoSpaceDE w:val="0"/>
              <w:autoSpaceDN w:val="0"/>
              <w:adjustRightInd w:val="0"/>
              <w:spacing w:before="79" w:after="79"/>
              <w:jc w:val="center"/>
            </w:pPr>
            <w:r>
              <w:t>Nordic</w:t>
            </w:r>
          </w:p>
        </w:tc>
        <w:tc>
          <w:tcPr>
            <w:tcW w:w="1742" w:type="dxa"/>
            <w:tcBorders>
              <w:top w:val="single" w:sz="6" w:space="0" w:color="auto"/>
              <w:left w:val="nil"/>
              <w:bottom w:val="nil"/>
              <w:right w:val="nil"/>
            </w:tcBorders>
          </w:tcPr>
          <w:p w14:paraId="3FA14FC8" w14:textId="77777777" w:rsidR="002D7707" w:rsidRDefault="002D7707" w:rsidP="002C2A68">
            <w:pPr>
              <w:widowControl w:val="0"/>
              <w:autoSpaceDE w:val="0"/>
              <w:autoSpaceDN w:val="0"/>
              <w:adjustRightInd w:val="0"/>
              <w:spacing w:before="79" w:after="79"/>
              <w:jc w:val="center"/>
            </w:pPr>
            <w:r>
              <w:t>Continental</w:t>
            </w:r>
          </w:p>
        </w:tc>
        <w:tc>
          <w:tcPr>
            <w:tcW w:w="1742" w:type="dxa"/>
            <w:tcBorders>
              <w:top w:val="single" w:sz="6" w:space="0" w:color="auto"/>
              <w:left w:val="nil"/>
              <w:bottom w:val="nil"/>
              <w:right w:val="nil"/>
            </w:tcBorders>
          </w:tcPr>
          <w:p w14:paraId="2A7E82CD" w14:textId="77777777" w:rsidR="002D7707" w:rsidRDefault="002D7707" w:rsidP="002C2A68">
            <w:pPr>
              <w:widowControl w:val="0"/>
              <w:autoSpaceDE w:val="0"/>
              <w:autoSpaceDN w:val="0"/>
              <w:adjustRightInd w:val="0"/>
              <w:spacing w:before="79" w:after="79"/>
              <w:jc w:val="center"/>
            </w:pPr>
            <w:r>
              <w:t>Liberal</w:t>
            </w:r>
          </w:p>
        </w:tc>
        <w:tc>
          <w:tcPr>
            <w:tcW w:w="1606" w:type="dxa"/>
            <w:tcBorders>
              <w:top w:val="single" w:sz="6" w:space="0" w:color="auto"/>
              <w:left w:val="nil"/>
              <w:bottom w:val="nil"/>
              <w:right w:val="nil"/>
            </w:tcBorders>
          </w:tcPr>
          <w:p w14:paraId="526CAF77" w14:textId="77777777" w:rsidR="002D7707" w:rsidRDefault="002D7707" w:rsidP="002C2A68">
            <w:pPr>
              <w:widowControl w:val="0"/>
              <w:autoSpaceDE w:val="0"/>
              <w:autoSpaceDN w:val="0"/>
              <w:adjustRightInd w:val="0"/>
              <w:spacing w:before="79" w:after="79"/>
              <w:jc w:val="center"/>
            </w:pPr>
            <w:r>
              <w:t>Dual</w:t>
            </w:r>
          </w:p>
        </w:tc>
        <w:tc>
          <w:tcPr>
            <w:tcW w:w="1688" w:type="dxa"/>
            <w:tcBorders>
              <w:top w:val="single" w:sz="6" w:space="0" w:color="auto"/>
              <w:left w:val="nil"/>
              <w:bottom w:val="nil"/>
              <w:right w:val="nil"/>
            </w:tcBorders>
          </w:tcPr>
          <w:p w14:paraId="2E943C87" w14:textId="77777777" w:rsidR="002D7707" w:rsidRDefault="002D7707" w:rsidP="002C2A68">
            <w:pPr>
              <w:widowControl w:val="0"/>
              <w:autoSpaceDE w:val="0"/>
              <w:autoSpaceDN w:val="0"/>
              <w:adjustRightInd w:val="0"/>
              <w:spacing w:before="79" w:after="79"/>
              <w:jc w:val="center"/>
            </w:pPr>
            <w:r>
              <w:t>Mediterranean</w:t>
            </w:r>
          </w:p>
        </w:tc>
        <w:tc>
          <w:tcPr>
            <w:tcW w:w="1781" w:type="dxa"/>
            <w:tcBorders>
              <w:top w:val="single" w:sz="6" w:space="0" w:color="auto"/>
              <w:left w:val="nil"/>
              <w:bottom w:val="nil"/>
              <w:right w:val="nil"/>
            </w:tcBorders>
          </w:tcPr>
          <w:p w14:paraId="07E2C7C9" w14:textId="77777777" w:rsidR="002D7707" w:rsidRDefault="002D7707" w:rsidP="002C2A68">
            <w:pPr>
              <w:widowControl w:val="0"/>
              <w:autoSpaceDE w:val="0"/>
              <w:autoSpaceDN w:val="0"/>
              <w:adjustRightInd w:val="0"/>
              <w:spacing w:before="79" w:after="79"/>
              <w:jc w:val="center"/>
            </w:pPr>
            <w:r>
              <w:t>Central/Eastern Europe</w:t>
            </w:r>
          </w:p>
        </w:tc>
      </w:tr>
      <w:tr w:rsidR="00841993" w14:paraId="3E6802BF" w14:textId="77777777" w:rsidTr="00841993">
        <w:trPr>
          <w:jc w:val="center"/>
        </w:trPr>
        <w:tc>
          <w:tcPr>
            <w:tcW w:w="2856" w:type="dxa"/>
            <w:tcBorders>
              <w:top w:val="single" w:sz="6" w:space="0" w:color="auto"/>
              <w:left w:val="nil"/>
              <w:bottom w:val="nil"/>
              <w:right w:val="nil"/>
            </w:tcBorders>
          </w:tcPr>
          <w:p w14:paraId="6B7766F2" w14:textId="77777777" w:rsidR="00841993" w:rsidRPr="00B45C3B" w:rsidRDefault="00101683" w:rsidP="00841993">
            <w:pPr>
              <w:widowControl w:val="0"/>
              <w:autoSpaceDE w:val="0"/>
              <w:autoSpaceDN w:val="0"/>
              <w:adjustRightInd w:val="0"/>
            </w:pPr>
            <m:oMathPara>
              <m:oMathParaPr>
                <m:jc m:val="left"/>
              </m:oMathParaPr>
              <m:oMath>
                <m:sSub>
                  <m:sSubPr>
                    <m:ctrlPr>
                      <w:rPr>
                        <w:rFonts w:ascii="Cambria Math" w:hAnsi="Cambria Math"/>
                        <w:i/>
                      </w:rPr>
                    </m:ctrlPr>
                  </m:sSubPr>
                  <m:e>
                    <m:r>
                      <m:rPr>
                        <m:sty m:val="p"/>
                      </m:rPr>
                      <w:rPr>
                        <w:rFonts w:ascii="Cambria Math"/>
                      </w:rPr>
                      <m:t>redistribution</m:t>
                    </m:r>
                  </m:e>
                  <m:sub>
                    <m:r>
                      <w:rPr>
                        <w:rFonts w:ascii="Cambria Math" w:hAnsi="Cambria Math"/>
                      </w:rPr>
                      <m:t>t-</m:t>
                    </m:r>
                    <m:r>
                      <w:rPr>
                        <w:rFonts w:ascii="Cambria Math"/>
                      </w:rPr>
                      <m:t>1</m:t>
                    </m:r>
                  </m:sub>
                </m:sSub>
              </m:oMath>
            </m:oMathPara>
          </w:p>
        </w:tc>
        <w:tc>
          <w:tcPr>
            <w:tcW w:w="1742" w:type="dxa"/>
            <w:tcBorders>
              <w:top w:val="single" w:sz="6" w:space="0" w:color="auto"/>
              <w:left w:val="nil"/>
              <w:bottom w:val="nil"/>
              <w:right w:val="nil"/>
            </w:tcBorders>
          </w:tcPr>
          <w:p w14:paraId="5EB53C16" w14:textId="77777777" w:rsidR="00841993" w:rsidRPr="0005705F" w:rsidRDefault="00841993" w:rsidP="00841993">
            <w:pPr>
              <w:jc w:val="center"/>
            </w:pPr>
            <w:r w:rsidRPr="0005705F">
              <w:t>-0.313***</w:t>
            </w:r>
          </w:p>
        </w:tc>
        <w:tc>
          <w:tcPr>
            <w:tcW w:w="1742" w:type="dxa"/>
            <w:tcBorders>
              <w:top w:val="single" w:sz="6" w:space="0" w:color="auto"/>
              <w:left w:val="nil"/>
              <w:bottom w:val="nil"/>
              <w:right w:val="nil"/>
            </w:tcBorders>
          </w:tcPr>
          <w:p w14:paraId="69CF00AA" w14:textId="77777777" w:rsidR="00841993" w:rsidRPr="0005705F" w:rsidRDefault="00841993" w:rsidP="00841993">
            <w:pPr>
              <w:jc w:val="center"/>
            </w:pPr>
            <w:r w:rsidRPr="0005705F">
              <w:t>-0.186***</w:t>
            </w:r>
          </w:p>
        </w:tc>
        <w:tc>
          <w:tcPr>
            <w:tcW w:w="1742" w:type="dxa"/>
            <w:tcBorders>
              <w:top w:val="single" w:sz="6" w:space="0" w:color="auto"/>
              <w:left w:val="nil"/>
              <w:bottom w:val="nil"/>
              <w:right w:val="nil"/>
            </w:tcBorders>
          </w:tcPr>
          <w:p w14:paraId="45597072" w14:textId="77777777" w:rsidR="00841993" w:rsidRPr="0005705F" w:rsidRDefault="00841993" w:rsidP="00841993">
            <w:pPr>
              <w:jc w:val="center"/>
            </w:pPr>
            <w:r w:rsidRPr="0005705F">
              <w:t>-0.118*</w:t>
            </w:r>
          </w:p>
        </w:tc>
        <w:tc>
          <w:tcPr>
            <w:tcW w:w="1606" w:type="dxa"/>
            <w:tcBorders>
              <w:top w:val="single" w:sz="6" w:space="0" w:color="auto"/>
              <w:left w:val="nil"/>
              <w:bottom w:val="nil"/>
              <w:right w:val="nil"/>
            </w:tcBorders>
          </w:tcPr>
          <w:p w14:paraId="133B9477" w14:textId="77777777" w:rsidR="00841993" w:rsidRPr="0005705F" w:rsidRDefault="00841993" w:rsidP="00841993">
            <w:pPr>
              <w:jc w:val="center"/>
            </w:pPr>
            <w:r w:rsidRPr="0005705F">
              <w:t>-0.094*</w:t>
            </w:r>
          </w:p>
        </w:tc>
        <w:tc>
          <w:tcPr>
            <w:tcW w:w="1688" w:type="dxa"/>
            <w:tcBorders>
              <w:top w:val="single" w:sz="6" w:space="0" w:color="auto"/>
              <w:left w:val="nil"/>
              <w:bottom w:val="nil"/>
              <w:right w:val="nil"/>
            </w:tcBorders>
          </w:tcPr>
          <w:p w14:paraId="6FBB64E8" w14:textId="77777777" w:rsidR="00841993" w:rsidRPr="0005705F" w:rsidRDefault="00841993" w:rsidP="00841993">
            <w:pPr>
              <w:jc w:val="center"/>
            </w:pPr>
            <w:r w:rsidRPr="0005705F">
              <w:t>-0.114***</w:t>
            </w:r>
          </w:p>
        </w:tc>
        <w:tc>
          <w:tcPr>
            <w:tcW w:w="1781" w:type="dxa"/>
            <w:tcBorders>
              <w:top w:val="single" w:sz="6" w:space="0" w:color="auto"/>
              <w:left w:val="nil"/>
              <w:bottom w:val="nil"/>
              <w:right w:val="nil"/>
            </w:tcBorders>
          </w:tcPr>
          <w:p w14:paraId="031B03A8" w14:textId="77777777" w:rsidR="00841993" w:rsidRPr="0005705F" w:rsidRDefault="00841993" w:rsidP="00841993">
            <w:pPr>
              <w:jc w:val="center"/>
            </w:pPr>
            <w:r w:rsidRPr="0005705F">
              <w:t>-0.212***</w:t>
            </w:r>
          </w:p>
        </w:tc>
      </w:tr>
      <w:tr w:rsidR="00841993" w14:paraId="10C6325A" w14:textId="77777777" w:rsidTr="00841993">
        <w:trPr>
          <w:jc w:val="center"/>
        </w:trPr>
        <w:tc>
          <w:tcPr>
            <w:tcW w:w="2856" w:type="dxa"/>
            <w:tcBorders>
              <w:top w:val="nil"/>
              <w:left w:val="nil"/>
              <w:bottom w:val="nil"/>
              <w:right w:val="nil"/>
            </w:tcBorders>
          </w:tcPr>
          <w:p w14:paraId="373E3481" w14:textId="77777777" w:rsidR="00841993" w:rsidRPr="00B45C3B" w:rsidRDefault="00841993" w:rsidP="00841993">
            <w:pPr>
              <w:widowControl w:val="0"/>
              <w:autoSpaceDE w:val="0"/>
              <w:autoSpaceDN w:val="0"/>
              <w:adjustRightInd w:val="0"/>
            </w:pPr>
            <w:r w:rsidRPr="00B45C3B">
              <w:t>∆inequality</w:t>
            </w:r>
          </w:p>
        </w:tc>
        <w:tc>
          <w:tcPr>
            <w:tcW w:w="1742" w:type="dxa"/>
            <w:tcBorders>
              <w:top w:val="nil"/>
              <w:left w:val="nil"/>
              <w:bottom w:val="nil"/>
              <w:right w:val="nil"/>
            </w:tcBorders>
          </w:tcPr>
          <w:p w14:paraId="6870FE8B" w14:textId="77777777" w:rsidR="00841993" w:rsidRPr="0005705F" w:rsidRDefault="00841993" w:rsidP="00841993">
            <w:pPr>
              <w:jc w:val="center"/>
            </w:pPr>
            <w:r w:rsidRPr="0005705F">
              <w:t>0.639***</w:t>
            </w:r>
          </w:p>
        </w:tc>
        <w:tc>
          <w:tcPr>
            <w:tcW w:w="1742" w:type="dxa"/>
            <w:tcBorders>
              <w:top w:val="nil"/>
              <w:left w:val="nil"/>
              <w:bottom w:val="nil"/>
              <w:right w:val="nil"/>
            </w:tcBorders>
          </w:tcPr>
          <w:p w14:paraId="51E217DA" w14:textId="77777777" w:rsidR="00841993" w:rsidRPr="0005705F" w:rsidRDefault="00841993" w:rsidP="00841993">
            <w:pPr>
              <w:jc w:val="center"/>
            </w:pPr>
            <w:r w:rsidRPr="0005705F">
              <w:t>0.457***</w:t>
            </w:r>
          </w:p>
        </w:tc>
        <w:tc>
          <w:tcPr>
            <w:tcW w:w="1742" w:type="dxa"/>
            <w:tcBorders>
              <w:top w:val="nil"/>
              <w:left w:val="nil"/>
              <w:bottom w:val="nil"/>
              <w:right w:val="nil"/>
            </w:tcBorders>
          </w:tcPr>
          <w:p w14:paraId="69B9DB9D" w14:textId="77777777" w:rsidR="00841993" w:rsidRPr="0005705F" w:rsidRDefault="00841993" w:rsidP="00841993">
            <w:pPr>
              <w:jc w:val="center"/>
            </w:pPr>
            <w:r w:rsidRPr="0005705F">
              <w:t>0.586***</w:t>
            </w:r>
          </w:p>
        </w:tc>
        <w:tc>
          <w:tcPr>
            <w:tcW w:w="1606" w:type="dxa"/>
            <w:tcBorders>
              <w:top w:val="nil"/>
              <w:left w:val="nil"/>
              <w:bottom w:val="nil"/>
              <w:right w:val="nil"/>
            </w:tcBorders>
          </w:tcPr>
          <w:p w14:paraId="1A2AF293" w14:textId="77777777" w:rsidR="00841993" w:rsidRPr="0005705F" w:rsidRDefault="00841993" w:rsidP="00841993">
            <w:pPr>
              <w:jc w:val="center"/>
            </w:pPr>
            <w:r w:rsidRPr="0005705F">
              <w:t>0.301***</w:t>
            </w:r>
          </w:p>
        </w:tc>
        <w:tc>
          <w:tcPr>
            <w:tcW w:w="1688" w:type="dxa"/>
            <w:tcBorders>
              <w:top w:val="nil"/>
              <w:left w:val="nil"/>
              <w:bottom w:val="nil"/>
              <w:right w:val="nil"/>
            </w:tcBorders>
          </w:tcPr>
          <w:p w14:paraId="7CA8B163" w14:textId="77777777" w:rsidR="00841993" w:rsidRPr="0005705F" w:rsidRDefault="00841993" w:rsidP="00841993">
            <w:pPr>
              <w:jc w:val="center"/>
            </w:pPr>
            <w:r w:rsidRPr="0005705F">
              <w:t>0.797***</w:t>
            </w:r>
          </w:p>
        </w:tc>
        <w:tc>
          <w:tcPr>
            <w:tcW w:w="1781" w:type="dxa"/>
            <w:tcBorders>
              <w:top w:val="nil"/>
              <w:left w:val="nil"/>
              <w:bottom w:val="nil"/>
              <w:right w:val="nil"/>
            </w:tcBorders>
          </w:tcPr>
          <w:p w14:paraId="6EAA27CF" w14:textId="77777777" w:rsidR="00841993" w:rsidRPr="0005705F" w:rsidRDefault="00841993" w:rsidP="00841993">
            <w:pPr>
              <w:jc w:val="center"/>
            </w:pPr>
            <w:r w:rsidRPr="0005705F">
              <w:t>0.647***</w:t>
            </w:r>
          </w:p>
        </w:tc>
      </w:tr>
      <w:tr w:rsidR="00841993" w14:paraId="4B6CC146" w14:textId="77777777" w:rsidTr="00841993">
        <w:trPr>
          <w:jc w:val="center"/>
        </w:trPr>
        <w:tc>
          <w:tcPr>
            <w:tcW w:w="2856" w:type="dxa"/>
            <w:tcBorders>
              <w:top w:val="nil"/>
              <w:left w:val="nil"/>
              <w:bottom w:val="nil"/>
              <w:right w:val="nil"/>
            </w:tcBorders>
          </w:tcPr>
          <w:p w14:paraId="1E866DCE" w14:textId="77777777" w:rsidR="00841993" w:rsidRPr="00B45C3B" w:rsidRDefault="00101683" w:rsidP="00841993">
            <w:pPr>
              <w:widowControl w:val="0"/>
              <w:autoSpaceDE w:val="0"/>
              <w:autoSpaceDN w:val="0"/>
              <w:adjustRightInd w:val="0"/>
            </w:pPr>
            <m:oMathPara>
              <m:oMathParaPr>
                <m:jc m:val="left"/>
              </m:oMathParaPr>
              <m:oMath>
                <m:sSub>
                  <m:sSubPr>
                    <m:ctrlPr>
                      <w:rPr>
                        <w:rFonts w:ascii="Cambria Math" w:hAnsi="Cambria Math"/>
                        <w:i/>
                      </w:rPr>
                    </m:ctrlPr>
                  </m:sSubPr>
                  <m:e>
                    <m:r>
                      <m:rPr>
                        <m:sty m:val="p"/>
                      </m:rPr>
                      <w:rPr>
                        <w:rFonts w:ascii="Cambria Math"/>
                      </w:rPr>
                      <m:t>inequality</m:t>
                    </m:r>
                  </m:e>
                  <m:sub>
                    <m:r>
                      <w:rPr>
                        <w:rFonts w:ascii="Cambria Math" w:hAnsi="Cambria Math"/>
                      </w:rPr>
                      <m:t>t-</m:t>
                    </m:r>
                    <m:r>
                      <w:rPr>
                        <w:rFonts w:ascii="Cambria Math"/>
                      </w:rPr>
                      <m:t>1</m:t>
                    </m:r>
                  </m:sub>
                </m:sSub>
              </m:oMath>
            </m:oMathPara>
          </w:p>
        </w:tc>
        <w:tc>
          <w:tcPr>
            <w:tcW w:w="1742" w:type="dxa"/>
            <w:tcBorders>
              <w:top w:val="nil"/>
              <w:left w:val="nil"/>
              <w:bottom w:val="nil"/>
              <w:right w:val="nil"/>
            </w:tcBorders>
          </w:tcPr>
          <w:p w14:paraId="262F39C6" w14:textId="77777777" w:rsidR="00841993" w:rsidRPr="0005705F" w:rsidRDefault="00841993" w:rsidP="00841993">
            <w:pPr>
              <w:jc w:val="center"/>
            </w:pPr>
            <w:r w:rsidRPr="0005705F">
              <w:t>0.153*</w:t>
            </w:r>
          </w:p>
        </w:tc>
        <w:tc>
          <w:tcPr>
            <w:tcW w:w="1742" w:type="dxa"/>
            <w:tcBorders>
              <w:top w:val="nil"/>
              <w:left w:val="nil"/>
              <w:bottom w:val="nil"/>
              <w:right w:val="nil"/>
            </w:tcBorders>
          </w:tcPr>
          <w:p w14:paraId="7CC834C5" w14:textId="77777777" w:rsidR="00841993" w:rsidRPr="0005705F" w:rsidRDefault="00841993" w:rsidP="00841993">
            <w:pPr>
              <w:jc w:val="center"/>
            </w:pPr>
            <w:r w:rsidRPr="0005705F">
              <w:t>0.076*</w:t>
            </w:r>
          </w:p>
        </w:tc>
        <w:tc>
          <w:tcPr>
            <w:tcW w:w="1742" w:type="dxa"/>
            <w:tcBorders>
              <w:top w:val="nil"/>
              <w:left w:val="nil"/>
              <w:bottom w:val="nil"/>
              <w:right w:val="nil"/>
            </w:tcBorders>
          </w:tcPr>
          <w:p w14:paraId="279D7396" w14:textId="77777777" w:rsidR="00841993" w:rsidRPr="0005705F" w:rsidRDefault="00841993" w:rsidP="00841993">
            <w:pPr>
              <w:jc w:val="center"/>
            </w:pPr>
            <w:r w:rsidRPr="0005705F">
              <w:t>0.222***</w:t>
            </w:r>
          </w:p>
        </w:tc>
        <w:tc>
          <w:tcPr>
            <w:tcW w:w="1606" w:type="dxa"/>
            <w:tcBorders>
              <w:top w:val="nil"/>
              <w:left w:val="nil"/>
              <w:bottom w:val="nil"/>
              <w:right w:val="nil"/>
            </w:tcBorders>
          </w:tcPr>
          <w:p w14:paraId="5E680B72" w14:textId="77777777" w:rsidR="00841993" w:rsidRPr="0005705F" w:rsidRDefault="00841993" w:rsidP="00841993">
            <w:pPr>
              <w:jc w:val="center"/>
            </w:pPr>
            <w:r w:rsidRPr="0005705F">
              <w:t>-0.214***</w:t>
            </w:r>
          </w:p>
        </w:tc>
        <w:tc>
          <w:tcPr>
            <w:tcW w:w="1688" w:type="dxa"/>
            <w:tcBorders>
              <w:top w:val="nil"/>
              <w:left w:val="nil"/>
              <w:bottom w:val="nil"/>
              <w:right w:val="nil"/>
            </w:tcBorders>
          </w:tcPr>
          <w:p w14:paraId="588BF8F7" w14:textId="77777777" w:rsidR="00841993" w:rsidRPr="0005705F" w:rsidRDefault="00841993" w:rsidP="00841993">
            <w:pPr>
              <w:jc w:val="center"/>
            </w:pPr>
            <w:r w:rsidRPr="0005705F">
              <w:t>0.143***</w:t>
            </w:r>
          </w:p>
        </w:tc>
        <w:tc>
          <w:tcPr>
            <w:tcW w:w="1781" w:type="dxa"/>
            <w:tcBorders>
              <w:top w:val="nil"/>
              <w:left w:val="nil"/>
              <w:bottom w:val="nil"/>
              <w:right w:val="nil"/>
            </w:tcBorders>
          </w:tcPr>
          <w:p w14:paraId="0CDB12CC" w14:textId="77777777" w:rsidR="00841993" w:rsidRPr="0005705F" w:rsidRDefault="00841993" w:rsidP="00841993">
            <w:pPr>
              <w:jc w:val="center"/>
            </w:pPr>
            <w:r w:rsidRPr="0005705F">
              <w:t>0.116***</w:t>
            </w:r>
          </w:p>
        </w:tc>
      </w:tr>
      <w:tr w:rsidR="00841993" w14:paraId="5E639605" w14:textId="77777777" w:rsidTr="00841993">
        <w:trPr>
          <w:jc w:val="center"/>
        </w:trPr>
        <w:tc>
          <w:tcPr>
            <w:tcW w:w="2856" w:type="dxa"/>
            <w:tcBorders>
              <w:top w:val="nil"/>
              <w:left w:val="nil"/>
              <w:bottom w:val="nil"/>
              <w:right w:val="nil"/>
            </w:tcBorders>
          </w:tcPr>
          <w:p w14:paraId="263F77DE" w14:textId="77777777" w:rsidR="00841993" w:rsidRPr="00B45C3B" w:rsidRDefault="00841993" w:rsidP="00841993">
            <w:pPr>
              <w:widowControl w:val="0"/>
              <w:autoSpaceDE w:val="0"/>
              <w:autoSpaceDN w:val="0"/>
              <w:adjustRightInd w:val="0"/>
            </w:pPr>
            <w:r w:rsidRPr="00B45C3B">
              <w:t>∆left executive</w:t>
            </w:r>
          </w:p>
        </w:tc>
        <w:tc>
          <w:tcPr>
            <w:tcW w:w="1742" w:type="dxa"/>
            <w:tcBorders>
              <w:top w:val="nil"/>
              <w:left w:val="nil"/>
              <w:bottom w:val="nil"/>
              <w:right w:val="nil"/>
            </w:tcBorders>
          </w:tcPr>
          <w:p w14:paraId="6BE64687" w14:textId="77777777" w:rsidR="00841993" w:rsidRPr="0005705F" w:rsidRDefault="00841993" w:rsidP="00841993">
            <w:pPr>
              <w:jc w:val="center"/>
            </w:pPr>
            <w:r w:rsidRPr="0005705F">
              <w:t>0.267</w:t>
            </w:r>
          </w:p>
        </w:tc>
        <w:tc>
          <w:tcPr>
            <w:tcW w:w="1742" w:type="dxa"/>
            <w:tcBorders>
              <w:top w:val="nil"/>
              <w:left w:val="nil"/>
              <w:bottom w:val="nil"/>
              <w:right w:val="nil"/>
            </w:tcBorders>
          </w:tcPr>
          <w:p w14:paraId="7C2CA2CC" w14:textId="77777777" w:rsidR="00841993" w:rsidRPr="0005705F" w:rsidRDefault="00841993" w:rsidP="00841993">
            <w:pPr>
              <w:jc w:val="center"/>
            </w:pPr>
            <w:r w:rsidRPr="0005705F">
              <w:t>-0.014</w:t>
            </w:r>
          </w:p>
        </w:tc>
        <w:tc>
          <w:tcPr>
            <w:tcW w:w="1742" w:type="dxa"/>
            <w:tcBorders>
              <w:top w:val="nil"/>
              <w:left w:val="nil"/>
              <w:bottom w:val="nil"/>
              <w:right w:val="nil"/>
            </w:tcBorders>
          </w:tcPr>
          <w:p w14:paraId="576E72C1" w14:textId="77777777" w:rsidR="00841993" w:rsidRPr="0005705F" w:rsidRDefault="00841993" w:rsidP="00841993">
            <w:pPr>
              <w:jc w:val="center"/>
            </w:pPr>
            <w:r w:rsidRPr="0005705F">
              <w:t>-0.008</w:t>
            </w:r>
          </w:p>
        </w:tc>
        <w:tc>
          <w:tcPr>
            <w:tcW w:w="1606" w:type="dxa"/>
            <w:tcBorders>
              <w:top w:val="nil"/>
              <w:left w:val="nil"/>
              <w:bottom w:val="nil"/>
              <w:right w:val="nil"/>
            </w:tcBorders>
          </w:tcPr>
          <w:p w14:paraId="43353FB0" w14:textId="77777777" w:rsidR="00841993" w:rsidRPr="0005705F" w:rsidRDefault="00841993" w:rsidP="00841993">
            <w:pPr>
              <w:jc w:val="center"/>
            </w:pPr>
            <w:r w:rsidRPr="0005705F">
              <w:t>0.294</w:t>
            </w:r>
          </w:p>
        </w:tc>
        <w:tc>
          <w:tcPr>
            <w:tcW w:w="1688" w:type="dxa"/>
            <w:tcBorders>
              <w:top w:val="nil"/>
              <w:left w:val="nil"/>
              <w:bottom w:val="nil"/>
              <w:right w:val="nil"/>
            </w:tcBorders>
          </w:tcPr>
          <w:p w14:paraId="6CD91A27" w14:textId="77777777" w:rsidR="00841993" w:rsidRPr="0005705F" w:rsidRDefault="00841993" w:rsidP="00841993">
            <w:pPr>
              <w:jc w:val="center"/>
            </w:pPr>
            <w:r w:rsidRPr="0005705F">
              <w:t>0.110</w:t>
            </w:r>
          </w:p>
        </w:tc>
        <w:tc>
          <w:tcPr>
            <w:tcW w:w="1781" w:type="dxa"/>
            <w:tcBorders>
              <w:top w:val="nil"/>
              <w:left w:val="nil"/>
              <w:bottom w:val="nil"/>
              <w:right w:val="nil"/>
            </w:tcBorders>
          </w:tcPr>
          <w:p w14:paraId="5FCD347D" w14:textId="77777777" w:rsidR="00841993" w:rsidRPr="0005705F" w:rsidRDefault="00841993" w:rsidP="00841993">
            <w:pPr>
              <w:jc w:val="center"/>
            </w:pPr>
            <w:r w:rsidRPr="0005705F">
              <w:t>0.222*</w:t>
            </w:r>
          </w:p>
        </w:tc>
      </w:tr>
      <w:tr w:rsidR="00841993" w14:paraId="0E4B502F" w14:textId="77777777" w:rsidTr="00841993">
        <w:trPr>
          <w:jc w:val="center"/>
        </w:trPr>
        <w:tc>
          <w:tcPr>
            <w:tcW w:w="2856" w:type="dxa"/>
            <w:tcBorders>
              <w:top w:val="nil"/>
              <w:left w:val="nil"/>
              <w:bottom w:val="nil"/>
              <w:right w:val="nil"/>
            </w:tcBorders>
          </w:tcPr>
          <w:p w14:paraId="2D7F2C43" w14:textId="77777777" w:rsidR="00841993" w:rsidRPr="00B45C3B" w:rsidRDefault="00101683" w:rsidP="00841993">
            <w:pPr>
              <w:widowControl w:val="0"/>
              <w:autoSpaceDE w:val="0"/>
              <w:autoSpaceDN w:val="0"/>
              <w:adjustRightInd w:val="0"/>
            </w:pPr>
            <m:oMathPara>
              <m:oMathParaPr>
                <m:jc m:val="left"/>
              </m:oMathParaPr>
              <m:oMath>
                <m:sSub>
                  <m:sSubPr>
                    <m:ctrlPr>
                      <w:rPr>
                        <w:rFonts w:ascii="Cambria Math" w:hAnsi="Cambria Math"/>
                        <w:i/>
                      </w:rPr>
                    </m:ctrlPr>
                  </m:sSubPr>
                  <m:e>
                    <m:r>
                      <m:rPr>
                        <m:sty m:val="p"/>
                      </m:rPr>
                      <w:rPr>
                        <w:rFonts w:ascii="Cambria Math"/>
                      </w:rPr>
                      <m:t>left executive</m:t>
                    </m:r>
                  </m:e>
                  <m:sub>
                    <m:r>
                      <w:rPr>
                        <w:rFonts w:ascii="Cambria Math" w:hAnsi="Cambria Math"/>
                      </w:rPr>
                      <m:t>t-</m:t>
                    </m:r>
                    <m:r>
                      <w:rPr>
                        <w:rFonts w:ascii="Cambria Math"/>
                      </w:rPr>
                      <m:t>1</m:t>
                    </m:r>
                  </m:sub>
                </m:sSub>
              </m:oMath>
            </m:oMathPara>
          </w:p>
        </w:tc>
        <w:tc>
          <w:tcPr>
            <w:tcW w:w="1742" w:type="dxa"/>
            <w:tcBorders>
              <w:top w:val="nil"/>
              <w:left w:val="nil"/>
              <w:bottom w:val="nil"/>
              <w:right w:val="nil"/>
            </w:tcBorders>
          </w:tcPr>
          <w:p w14:paraId="02D1D624" w14:textId="77777777" w:rsidR="00841993" w:rsidRPr="0005705F" w:rsidRDefault="00841993" w:rsidP="00841993">
            <w:pPr>
              <w:jc w:val="center"/>
            </w:pPr>
            <w:r w:rsidRPr="0005705F">
              <w:t>-0.099</w:t>
            </w:r>
          </w:p>
        </w:tc>
        <w:tc>
          <w:tcPr>
            <w:tcW w:w="1742" w:type="dxa"/>
            <w:tcBorders>
              <w:top w:val="nil"/>
              <w:left w:val="nil"/>
              <w:bottom w:val="nil"/>
              <w:right w:val="nil"/>
            </w:tcBorders>
          </w:tcPr>
          <w:p w14:paraId="4710E7B6" w14:textId="77777777" w:rsidR="00841993" w:rsidRPr="0005705F" w:rsidRDefault="00841993" w:rsidP="00841993">
            <w:pPr>
              <w:jc w:val="center"/>
            </w:pPr>
            <w:r w:rsidRPr="0005705F">
              <w:t>0.011</w:t>
            </w:r>
          </w:p>
        </w:tc>
        <w:tc>
          <w:tcPr>
            <w:tcW w:w="1742" w:type="dxa"/>
            <w:tcBorders>
              <w:top w:val="nil"/>
              <w:left w:val="nil"/>
              <w:bottom w:val="nil"/>
              <w:right w:val="nil"/>
            </w:tcBorders>
          </w:tcPr>
          <w:p w14:paraId="6E9619A4" w14:textId="77777777" w:rsidR="00841993" w:rsidRPr="0005705F" w:rsidRDefault="00841993" w:rsidP="00841993">
            <w:pPr>
              <w:jc w:val="center"/>
            </w:pPr>
            <w:r w:rsidRPr="0005705F">
              <w:t>0.031</w:t>
            </w:r>
          </w:p>
        </w:tc>
        <w:tc>
          <w:tcPr>
            <w:tcW w:w="1606" w:type="dxa"/>
            <w:tcBorders>
              <w:top w:val="nil"/>
              <w:left w:val="nil"/>
              <w:bottom w:val="nil"/>
              <w:right w:val="nil"/>
            </w:tcBorders>
          </w:tcPr>
          <w:p w14:paraId="0F62A856" w14:textId="77777777" w:rsidR="00841993" w:rsidRPr="0005705F" w:rsidRDefault="00841993" w:rsidP="00841993">
            <w:pPr>
              <w:jc w:val="center"/>
            </w:pPr>
            <w:r w:rsidRPr="0005705F">
              <w:t>0.752***</w:t>
            </w:r>
          </w:p>
        </w:tc>
        <w:tc>
          <w:tcPr>
            <w:tcW w:w="1688" w:type="dxa"/>
            <w:tcBorders>
              <w:top w:val="nil"/>
              <w:left w:val="nil"/>
              <w:bottom w:val="nil"/>
              <w:right w:val="nil"/>
            </w:tcBorders>
          </w:tcPr>
          <w:p w14:paraId="56E0932E" w14:textId="77777777" w:rsidR="00841993" w:rsidRPr="0005705F" w:rsidRDefault="00841993" w:rsidP="00841993">
            <w:pPr>
              <w:jc w:val="center"/>
            </w:pPr>
            <w:r w:rsidRPr="0005705F">
              <w:t>0.495***</w:t>
            </w:r>
          </w:p>
        </w:tc>
        <w:tc>
          <w:tcPr>
            <w:tcW w:w="1781" w:type="dxa"/>
            <w:tcBorders>
              <w:top w:val="nil"/>
              <w:left w:val="nil"/>
              <w:bottom w:val="nil"/>
              <w:right w:val="nil"/>
            </w:tcBorders>
          </w:tcPr>
          <w:p w14:paraId="007B1E70" w14:textId="77777777" w:rsidR="00841993" w:rsidRPr="0005705F" w:rsidRDefault="00841993" w:rsidP="00841993">
            <w:pPr>
              <w:jc w:val="center"/>
            </w:pPr>
            <w:r w:rsidRPr="0005705F">
              <w:t>0.264**</w:t>
            </w:r>
          </w:p>
        </w:tc>
      </w:tr>
      <w:tr w:rsidR="00841993" w14:paraId="1F541D6E" w14:textId="77777777" w:rsidTr="00841993">
        <w:trPr>
          <w:jc w:val="center"/>
        </w:trPr>
        <w:tc>
          <w:tcPr>
            <w:tcW w:w="2856" w:type="dxa"/>
            <w:tcBorders>
              <w:top w:val="nil"/>
              <w:left w:val="nil"/>
              <w:bottom w:val="nil"/>
              <w:right w:val="nil"/>
            </w:tcBorders>
          </w:tcPr>
          <w:p w14:paraId="7A4FD5F7" w14:textId="77777777" w:rsidR="00841993" w:rsidRPr="00B45C3B" w:rsidRDefault="00841993" w:rsidP="00841993">
            <w:pPr>
              <w:widowControl w:val="0"/>
              <w:autoSpaceDE w:val="0"/>
              <w:autoSpaceDN w:val="0"/>
              <w:adjustRightInd w:val="0"/>
            </w:pPr>
            <w:r w:rsidRPr="00B45C3B">
              <w:t>∆GDP growth</w:t>
            </w:r>
          </w:p>
        </w:tc>
        <w:tc>
          <w:tcPr>
            <w:tcW w:w="1742" w:type="dxa"/>
            <w:tcBorders>
              <w:top w:val="nil"/>
              <w:left w:val="nil"/>
              <w:bottom w:val="nil"/>
              <w:right w:val="nil"/>
            </w:tcBorders>
          </w:tcPr>
          <w:p w14:paraId="63D06797" w14:textId="77777777" w:rsidR="00841993" w:rsidRPr="0005705F" w:rsidRDefault="00841993" w:rsidP="00841993">
            <w:pPr>
              <w:jc w:val="center"/>
            </w:pPr>
            <w:r w:rsidRPr="0005705F">
              <w:t>-0.088***</w:t>
            </w:r>
          </w:p>
        </w:tc>
        <w:tc>
          <w:tcPr>
            <w:tcW w:w="1742" w:type="dxa"/>
            <w:tcBorders>
              <w:top w:val="nil"/>
              <w:left w:val="nil"/>
              <w:bottom w:val="nil"/>
              <w:right w:val="nil"/>
            </w:tcBorders>
          </w:tcPr>
          <w:p w14:paraId="4D230204" w14:textId="77777777" w:rsidR="00841993" w:rsidRPr="0005705F" w:rsidRDefault="00841993" w:rsidP="00841993">
            <w:pPr>
              <w:jc w:val="center"/>
            </w:pPr>
            <w:r w:rsidRPr="0005705F">
              <w:t>-0.067***</w:t>
            </w:r>
          </w:p>
        </w:tc>
        <w:tc>
          <w:tcPr>
            <w:tcW w:w="1742" w:type="dxa"/>
            <w:tcBorders>
              <w:top w:val="nil"/>
              <w:left w:val="nil"/>
              <w:bottom w:val="nil"/>
              <w:right w:val="nil"/>
            </w:tcBorders>
          </w:tcPr>
          <w:p w14:paraId="53113E73" w14:textId="77777777" w:rsidR="00841993" w:rsidRPr="0005705F" w:rsidRDefault="00841993" w:rsidP="00841993">
            <w:pPr>
              <w:jc w:val="center"/>
            </w:pPr>
            <w:r w:rsidRPr="0005705F">
              <w:t>-0.024</w:t>
            </w:r>
          </w:p>
        </w:tc>
        <w:tc>
          <w:tcPr>
            <w:tcW w:w="1606" w:type="dxa"/>
            <w:tcBorders>
              <w:top w:val="nil"/>
              <w:left w:val="nil"/>
              <w:bottom w:val="nil"/>
              <w:right w:val="nil"/>
            </w:tcBorders>
          </w:tcPr>
          <w:p w14:paraId="5795AA4D" w14:textId="77777777" w:rsidR="00841993" w:rsidRPr="0005705F" w:rsidRDefault="00841993" w:rsidP="00841993">
            <w:pPr>
              <w:jc w:val="center"/>
            </w:pPr>
            <w:r w:rsidRPr="0005705F">
              <w:t>0.001</w:t>
            </w:r>
          </w:p>
        </w:tc>
        <w:tc>
          <w:tcPr>
            <w:tcW w:w="1688" w:type="dxa"/>
            <w:tcBorders>
              <w:top w:val="nil"/>
              <w:left w:val="nil"/>
              <w:bottom w:val="nil"/>
              <w:right w:val="nil"/>
            </w:tcBorders>
          </w:tcPr>
          <w:p w14:paraId="23B334B9" w14:textId="77777777" w:rsidR="00841993" w:rsidRPr="0005705F" w:rsidRDefault="00841993" w:rsidP="00841993">
            <w:pPr>
              <w:jc w:val="center"/>
            </w:pPr>
            <w:r w:rsidRPr="0005705F">
              <w:t>0.042</w:t>
            </w:r>
          </w:p>
        </w:tc>
        <w:tc>
          <w:tcPr>
            <w:tcW w:w="1781" w:type="dxa"/>
            <w:tcBorders>
              <w:top w:val="nil"/>
              <w:left w:val="nil"/>
              <w:bottom w:val="nil"/>
              <w:right w:val="nil"/>
            </w:tcBorders>
          </w:tcPr>
          <w:p w14:paraId="2CFA7480" w14:textId="77777777" w:rsidR="00841993" w:rsidRPr="0005705F" w:rsidRDefault="00841993" w:rsidP="00841993">
            <w:pPr>
              <w:jc w:val="center"/>
            </w:pPr>
            <w:r w:rsidRPr="0005705F">
              <w:t>0.011</w:t>
            </w:r>
          </w:p>
        </w:tc>
      </w:tr>
      <w:tr w:rsidR="00841993" w14:paraId="3B38F32F" w14:textId="77777777" w:rsidTr="00841993">
        <w:trPr>
          <w:jc w:val="center"/>
        </w:trPr>
        <w:tc>
          <w:tcPr>
            <w:tcW w:w="2856" w:type="dxa"/>
            <w:tcBorders>
              <w:top w:val="nil"/>
              <w:left w:val="nil"/>
              <w:bottom w:val="nil"/>
              <w:right w:val="nil"/>
            </w:tcBorders>
          </w:tcPr>
          <w:p w14:paraId="78F9D103" w14:textId="77777777" w:rsidR="00841993" w:rsidRPr="00B45C3B" w:rsidRDefault="00101683" w:rsidP="00841993">
            <w:pPr>
              <w:widowControl w:val="0"/>
              <w:autoSpaceDE w:val="0"/>
              <w:autoSpaceDN w:val="0"/>
              <w:adjustRightInd w:val="0"/>
            </w:pPr>
            <m:oMathPara>
              <m:oMathParaPr>
                <m:jc m:val="left"/>
              </m:oMathParaPr>
              <m:oMath>
                <m:sSub>
                  <m:sSubPr>
                    <m:ctrlPr>
                      <w:rPr>
                        <w:rFonts w:ascii="Cambria Math" w:hAnsi="Cambria Math"/>
                        <w:i/>
                      </w:rPr>
                    </m:ctrlPr>
                  </m:sSubPr>
                  <m:e>
                    <m:r>
                      <m:rPr>
                        <m:sty m:val="p"/>
                      </m:rPr>
                      <w:rPr>
                        <w:rFonts w:ascii="Cambria Math"/>
                      </w:rPr>
                      <m:t>GDP growth</m:t>
                    </m:r>
                  </m:e>
                  <m:sub>
                    <m:r>
                      <w:rPr>
                        <w:rFonts w:ascii="Cambria Math" w:hAnsi="Cambria Math"/>
                      </w:rPr>
                      <m:t>t-</m:t>
                    </m:r>
                    <m:r>
                      <w:rPr>
                        <w:rFonts w:ascii="Cambria Math"/>
                      </w:rPr>
                      <m:t>1</m:t>
                    </m:r>
                  </m:sub>
                </m:sSub>
              </m:oMath>
            </m:oMathPara>
          </w:p>
        </w:tc>
        <w:tc>
          <w:tcPr>
            <w:tcW w:w="1742" w:type="dxa"/>
            <w:tcBorders>
              <w:top w:val="nil"/>
              <w:left w:val="nil"/>
              <w:bottom w:val="nil"/>
              <w:right w:val="nil"/>
            </w:tcBorders>
          </w:tcPr>
          <w:p w14:paraId="22D447F1" w14:textId="77777777" w:rsidR="00841993" w:rsidRPr="0005705F" w:rsidRDefault="00841993" w:rsidP="00841993">
            <w:pPr>
              <w:jc w:val="center"/>
            </w:pPr>
            <w:r w:rsidRPr="0005705F">
              <w:t>-0.241*</w:t>
            </w:r>
          </w:p>
        </w:tc>
        <w:tc>
          <w:tcPr>
            <w:tcW w:w="1742" w:type="dxa"/>
            <w:tcBorders>
              <w:top w:val="nil"/>
              <w:left w:val="nil"/>
              <w:bottom w:val="nil"/>
              <w:right w:val="nil"/>
            </w:tcBorders>
          </w:tcPr>
          <w:p w14:paraId="44D8B919" w14:textId="77777777" w:rsidR="00841993" w:rsidRPr="0005705F" w:rsidRDefault="00841993" w:rsidP="00841993">
            <w:pPr>
              <w:jc w:val="center"/>
            </w:pPr>
            <w:r w:rsidRPr="0005705F">
              <w:t>0.060</w:t>
            </w:r>
          </w:p>
        </w:tc>
        <w:tc>
          <w:tcPr>
            <w:tcW w:w="1742" w:type="dxa"/>
            <w:tcBorders>
              <w:top w:val="nil"/>
              <w:left w:val="nil"/>
              <w:bottom w:val="nil"/>
              <w:right w:val="nil"/>
            </w:tcBorders>
          </w:tcPr>
          <w:p w14:paraId="4941D809" w14:textId="77777777" w:rsidR="00841993" w:rsidRPr="0005705F" w:rsidRDefault="00841993" w:rsidP="00841993">
            <w:pPr>
              <w:jc w:val="center"/>
            </w:pPr>
            <w:r w:rsidRPr="0005705F">
              <w:t>-0.140</w:t>
            </w:r>
          </w:p>
        </w:tc>
        <w:tc>
          <w:tcPr>
            <w:tcW w:w="1606" w:type="dxa"/>
            <w:tcBorders>
              <w:top w:val="nil"/>
              <w:left w:val="nil"/>
              <w:bottom w:val="nil"/>
              <w:right w:val="nil"/>
            </w:tcBorders>
          </w:tcPr>
          <w:p w14:paraId="7E09B6F2" w14:textId="77777777" w:rsidR="00841993" w:rsidRPr="0005705F" w:rsidRDefault="00841993" w:rsidP="00841993">
            <w:pPr>
              <w:jc w:val="center"/>
            </w:pPr>
            <w:r w:rsidRPr="0005705F">
              <w:t>-0.074</w:t>
            </w:r>
          </w:p>
        </w:tc>
        <w:tc>
          <w:tcPr>
            <w:tcW w:w="1688" w:type="dxa"/>
            <w:tcBorders>
              <w:top w:val="nil"/>
              <w:left w:val="nil"/>
              <w:bottom w:val="nil"/>
              <w:right w:val="nil"/>
            </w:tcBorders>
          </w:tcPr>
          <w:p w14:paraId="55BC4E69" w14:textId="77777777" w:rsidR="00841993" w:rsidRPr="0005705F" w:rsidRDefault="00841993" w:rsidP="00841993">
            <w:pPr>
              <w:jc w:val="center"/>
            </w:pPr>
            <w:r w:rsidRPr="0005705F">
              <w:t>0.047</w:t>
            </w:r>
          </w:p>
        </w:tc>
        <w:tc>
          <w:tcPr>
            <w:tcW w:w="1781" w:type="dxa"/>
            <w:tcBorders>
              <w:top w:val="nil"/>
              <w:left w:val="nil"/>
              <w:bottom w:val="nil"/>
              <w:right w:val="nil"/>
            </w:tcBorders>
          </w:tcPr>
          <w:p w14:paraId="3418EC96" w14:textId="77777777" w:rsidR="00841993" w:rsidRPr="0005705F" w:rsidRDefault="00841993" w:rsidP="00841993">
            <w:pPr>
              <w:jc w:val="center"/>
            </w:pPr>
            <w:r w:rsidRPr="0005705F">
              <w:t>-0.041</w:t>
            </w:r>
          </w:p>
        </w:tc>
      </w:tr>
      <w:tr w:rsidR="00841993" w14:paraId="76C0ADC5" w14:textId="77777777" w:rsidTr="00841993">
        <w:trPr>
          <w:jc w:val="center"/>
        </w:trPr>
        <w:tc>
          <w:tcPr>
            <w:tcW w:w="2856" w:type="dxa"/>
            <w:tcBorders>
              <w:top w:val="nil"/>
              <w:left w:val="nil"/>
              <w:bottom w:val="nil"/>
              <w:right w:val="nil"/>
            </w:tcBorders>
          </w:tcPr>
          <w:p w14:paraId="12D630DD" w14:textId="77777777" w:rsidR="00841993" w:rsidRPr="00B45C3B" w:rsidRDefault="00841993" w:rsidP="00841993">
            <w:pPr>
              <w:widowControl w:val="0"/>
              <w:autoSpaceDE w:val="0"/>
              <w:autoSpaceDN w:val="0"/>
              <w:adjustRightInd w:val="0"/>
            </w:pPr>
            <w:r w:rsidRPr="00B45C3B">
              <w:t>L∆Political constraints</w:t>
            </w:r>
          </w:p>
        </w:tc>
        <w:tc>
          <w:tcPr>
            <w:tcW w:w="1742" w:type="dxa"/>
            <w:tcBorders>
              <w:top w:val="nil"/>
              <w:left w:val="nil"/>
              <w:bottom w:val="nil"/>
              <w:right w:val="nil"/>
            </w:tcBorders>
          </w:tcPr>
          <w:p w14:paraId="3E1D3925" w14:textId="77777777" w:rsidR="00841993" w:rsidRPr="0005705F" w:rsidRDefault="00841993" w:rsidP="00841993">
            <w:pPr>
              <w:jc w:val="center"/>
            </w:pPr>
            <w:r w:rsidRPr="0005705F">
              <w:t>-24.263***</w:t>
            </w:r>
          </w:p>
        </w:tc>
        <w:tc>
          <w:tcPr>
            <w:tcW w:w="1742" w:type="dxa"/>
            <w:tcBorders>
              <w:top w:val="nil"/>
              <w:left w:val="nil"/>
              <w:bottom w:val="nil"/>
              <w:right w:val="nil"/>
            </w:tcBorders>
          </w:tcPr>
          <w:p w14:paraId="02261663" w14:textId="77777777" w:rsidR="00841993" w:rsidRPr="0005705F" w:rsidRDefault="00841993" w:rsidP="00841993">
            <w:pPr>
              <w:jc w:val="center"/>
            </w:pPr>
            <w:r w:rsidRPr="0005705F">
              <w:t>0.429</w:t>
            </w:r>
          </w:p>
        </w:tc>
        <w:tc>
          <w:tcPr>
            <w:tcW w:w="1742" w:type="dxa"/>
            <w:tcBorders>
              <w:top w:val="nil"/>
              <w:left w:val="nil"/>
              <w:bottom w:val="nil"/>
              <w:right w:val="nil"/>
            </w:tcBorders>
          </w:tcPr>
          <w:p w14:paraId="0A35948F" w14:textId="77777777" w:rsidR="00841993" w:rsidRPr="0005705F" w:rsidRDefault="00841993" w:rsidP="00841993">
            <w:pPr>
              <w:jc w:val="center"/>
            </w:pPr>
            <w:r w:rsidRPr="0005705F">
              <w:t>-1.051</w:t>
            </w:r>
          </w:p>
        </w:tc>
        <w:tc>
          <w:tcPr>
            <w:tcW w:w="1606" w:type="dxa"/>
            <w:tcBorders>
              <w:top w:val="nil"/>
              <w:left w:val="nil"/>
              <w:bottom w:val="nil"/>
              <w:right w:val="nil"/>
            </w:tcBorders>
          </w:tcPr>
          <w:p w14:paraId="4490D518" w14:textId="77777777" w:rsidR="00841993" w:rsidRPr="0005705F" w:rsidRDefault="00841993" w:rsidP="00841993">
            <w:pPr>
              <w:jc w:val="center"/>
            </w:pPr>
            <w:r w:rsidRPr="0005705F">
              <w:t>0.407*</w:t>
            </w:r>
          </w:p>
        </w:tc>
        <w:tc>
          <w:tcPr>
            <w:tcW w:w="1688" w:type="dxa"/>
            <w:tcBorders>
              <w:top w:val="nil"/>
              <w:left w:val="nil"/>
              <w:bottom w:val="nil"/>
              <w:right w:val="nil"/>
            </w:tcBorders>
          </w:tcPr>
          <w:p w14:paraId="034BCB76" w14:textId="77777777" w:rsidR="00841993" w:rsidRPr="0005705F" w:rsidRDefault="00841993" w:rsidP="00841993">
            <w:pPr>
              <w:jc w:val="center"/>
            </w:pPr>
            <w:r w:rsidRPr="0005705F">
              <w:t>0.770</w:t>
            </w:r>
          </w:p>
        </w:tc>
        <w:tc>
          <w:tcPr>
            <w:tcW w:w="1781" w:type="dxa"/>
            <w:tcBorders>
              <w:top w:val="nil"/>
              <w:left w:val="nil"/>
              <w:bottom w:val="nil"/>
              <w:right w:val="nil"/>
            </w:tcBorders>
          </w:tcPr>
          <w:p w14:paraId="0DC91894" w14:textId="77777777" w:rsidR="00841993" w:rsidRPr="0005705F" w:rsidRDefault="00841993" w:rsidP="00841993">
            <w:pPr>
              <w:jc w:val="center"/>
            </w:pPr>
            <w:r w:rsidRPr="0005705F">
              <w:t>0.554</w:t>
            </w:r>
          </w:p>
        </w:tc>
      </w:tr>
      <w:tr w:rsidR="00841993" w14:paraId="79548891" w14:textId="77777777" w:rsidTr="00841993">
        <w:trPr>
          <w:jc w:val="center"/>
        </w:trPr>
        <w:tc>
          <w:tcPr>
            <w:tcW w:w="2856" w:type="dxa"/>
            <w:tcBorders>
              <w:top w:val="nil"/>
              <w:left w:val="nil"/>
              <w:bottom w:val="nil"/>
              <w:right w:val="nil"/>
            </w:tcBorders>
          </w:tcPr>
          <w:p w14:paraId="58D764C3" w14:textId="77777777" w:rsidR="00841993" w:rsidRPr="00B45C3B" w:rsidRDefault="00101683" w:rsidP="00841993">
            <w:pPr>
              <w:widowControl w:val="0"/>
              <w:autoSpaceDE w:val="0"/>
              <w:autoSpaceDN w:val="0"/>
              <w:adjustRightInd w:val="0"/>
            </w:pPr>
            <m:oMathPara>
              <m:oMathParaPr>
                <m:jc m:val="left"/>
              </m:oMathParaPr>
              <m:oMath>
                <m:sSub>
                  <m:sSubPr>
                    <m:ctrlPr>
                      <w:rPr>
                        <w:rFonts w:ascii="Cambria Math" w:hAnsi="Cambria Math"/>
                        <w:i/>
                      </w:rPr>
                    </m:ctrlPr>
                  </m:sSubPr>
                  <m:e>
                    <m:r>
                      <m:rPr>
                        <m:sty m:val="p"/>
                      </m:rPr>
                      <w:rPr>
                        <w:rFonts w:ascii="Cambria Math"/>
                      </w:rPr>
                      <m:t>political constraints</m:t>
                    </m:r>
                  </m:e>
                  <m:sub>
                    <m:r>
                      <w:rPr>
                        <w:rFonts w:ascii="Cambria Math" w:hAnsi="Cambria Math"/>
                      </w:rPr>
                      <m:t>t-</m:t>
                    </m:r>
                    <m:r>
                      <w:rPr>
                        <w:rFonts w:ascii="Cambria Math"/>
                      </w:rPr>
                      <m:t>2</m:t>
                    </m:r>
                  </m:sub>
                </m:sSub>
              </m:oMath>
            </m:oMathPara>
          </w:p>
        </w:tc>
        <w:tc>
          <w:tcPr>
            <w:tcW w:w="1742" w:type="dxa"/>
            <w:tcBorders>
              <w:top w:val="nil"/>
              <w:left w:val="nil"/>
              <w:bottom w:val="nil"/>
              <w:right w:val="nil"/>
            </w:tcBorders>
          </w:tcPr>
          <w:p w14:paraId="5A4172F7" w14:textId="77777777" w:rsidR="00841993" w:rsidRPr="0005705F" w:rsidRDefault="00841993" w:rsidP="00841993">
            <w:pPr>
              <w:jc w:val="center"/>
            </w:pPr>
            <w:r w:rsidRPr="0005705F">
              <w:t>-4.853</w:t>
            </w:r>
          </w:p>
        </w:tc>
        <w:tc>
          <w:tcPr>
            <w:tcW w:w="1742" w:type="dxa"/>
            <w:tcBorders>
              <w:top w:val="nil"/>
              <w:left w:val="nil"/>
              <w:bottom w:val="nil"/>
              <w:right w:val="nil"/>
            </w:tcBorders>
          </w:tcPr>
          <w:p w14:paraId="1BE45DAD" w14:textId="77777777" w:rsidR="00841993" w:rsidRPr="0005705F" w:rsidRDefault="00841993" w:rsidP="00841993">
            <w:pPr>
              <w:jc w:val="center"/>
            </w:pPr>
            <w:r w:rsidRPr="0005705F">
              <w:t>0.401</w:t>
            </w:r>
          </w:p>
        </w:tc>
        <w:tc>
          <w:tcPr>
            <w:tcW w:w="1742" w:type="dxa"/>
            <w:tcBorders>
              <w:top w:val="nil"/>
              <w:left w:val="nil"/>
              <w:bottom w:val="nil"/>
              <w:right w:val="nil"/>
            </w:tcBorders>
          </w:tcPr>
          <w:p w14:paraId="22EA7790" w14:textId="77777777" w:rsidR="00841993" w:rsidRPr="0005705F" w:rsidRDefault="00841993" w:rsidP="00841993">
            <w:pPr>
              <w:jc w:val="center"/>
            </w:pPr>
            <w:r w:rsidRPr="0005705F">
              <w:t>-2.323</w:t>
            </w:r>
          </w:p>
        </w:tc>
        <w:tc>
          <w:tcPr>
            <w:tcW w:w="1606" w:type="dxa"/>
            <w:tcBorders>
              <w:top w:val="nil"/>
              <w:left w:val="nil"/>
              <w:bottom w:val="nil"/>
              <w:right w:val="nil"/>
            </w:tcBorders>
          </w:tcPr>
          <w:p w14:paraId="17F98E41" w14:textId="77777777" w:rsidR="00841993" w:rsidRPr="0005705F" w:rsidRDefault="00841993" w:rsidP="00841993">
            <w:pPr>
              <w:jc w:val="center"/>
            </w:pPr>
            <w:r w:rsidRPr="0005705F">
              <w:t>0.280</w:t>
            </w:r>
          </w:p>
        </w:tc>
        <w:tc>
          <w:tcPr>
            <w:tcW w:w="1688" w:type="dxa"/>
            <w:tcBorders>
              <w:top w:val="nil"/>
              <w:left w:val="nil"/>
              <w:bottom w:val="nil"/>
              <w:right w:val="nil"/>
            </w:tcBorders>
          </w:tcPr>
          <w:p w14:paraId="5BD31D44" w14:textId="77777777" w:rsidR="00841993" w:rsidRPr="0005705F" w:rsidRDefault="00841993" w:rsidP="00841993">
            <w:pPr>
              <w:jc w:val="center"/>
            </w:pPr>
            <w:r w:rsidRPr="0005705F">
              <w:t>1.492**</w:t>
            </w:r>
          </w:p>
        </w:tc>
        <w:tc>
          <w:tcPr>
            <w:tcW w:w="1781" w:type="dxa"/>
            <w:tcBorders>
              <w:top w:val="nil"/>
              <w:left w:val="nil"/>
              <w:bottom w:val="nil"/>
              <w:right w:val="nil"/>
            </w:tcBorders>
          </w:tcPr>
          <w:p w14:paraId="4D16A8BF" w14:textId="77777777" w:rsidR="00841993" w:rsidRPr="0005705F" w:rsidRDefault="00841993" w:rsidP="00841993">
            <w:pPr>
              <w:jc w:val="center"/>
            </w:pPr>
            <w:r w:rsidRPr="0005705F">
              <w:t>0.837</w:t>
            </w:r>
          </w:p>
        </w:tc>
      </w:tr>
      <w:tr w:rsidR="00841993" w14:paraId="4FF2F216" w14:textId="77777777" w:rsidTr="00841993">
        <w:trPr>
          <w:jc w:val="center"/>
        </w:trPr>
        <w:tc>
          <w:tcPr>
            <w:tcW w:w="2856" w:type="dxa"/>
            <w:tcBorders>
              <w:top w:val="nil"/>
              <w:left w:val="nil"/>
              <w:bottom w:val="nil"/>
              <w:right w:val="nil"/>
            </w:tcBorders>
          </w:tcPr>
          <w:p w14:paraId="3B081312" w14:textId="77777777" w:rsidR="00841993" w:rsidRPr="00B45C3B" w:rsidRDefault="00841993" w:rsidP="00841993">
            <w:pPr>
              <w:widowControl w:val="0"/>
              <w:autoSpaceDE w:val="0"/>
              <w:autoSpaceDN w:val="0"/>
              <w:adjustRightInd w:val="0"/>
            </w:pPr>
            <w:r w:rsidRPr="00B45C3B">
              <w:t>L∆turnout</w:t>
            </w:r>
          </w:p>
        </w:tc>
        <w:tc>
          <w:tcPr>
            <w:tcW w:w="1742" w:type="dxa"/>
            <w:tcBorders>
              <w:top w:val="nil"/>
              <w:left w:val="nil"/>
              <w:bottom w:val="nil"/>
              <w:right w:val="nil"/>
            </w:tcBorders>
          </w:tcPr>
          <w:p w14:paraId="3FD05EB3" w14:textId="77777777" w:rsidR="00841993" w:rsidRPr="0005705F" w:rsidRDefault="00841993" w:rsidP="00841993">
            <w:pPr>
              <w:jc w:val="center"/>
            </w:pPr>
            <w:r w:rsidRPr="0005705F">
              <w:t>0.063</w:t>
            </w:r>
          </w:p>
        </w:tc>
        <w:tc>
          <w:tcPr>
            <w:tcW w:w="1742" w:type="dxa"/>
            <w:tcBorders>
              <w:top w:val="nil"/>
              <w:left w:val="nil"/>
              <w:bottom w:val="nil"/>
              <w:right w:val="nil"/>
            </w:tcBorders>
          </w:tcPr>
          <w:p w14:paraId="37CDC59B" w14:textId="77777777" w:rsidR="00841993" w:rsidRPr="0005705F" w:rsidRDefault="00841993" w:rsidP="00841993">
            <w:pPr>
              <w:jc w:val="center"/>
            </w:pPr>
            <w:r w:rsidRPr="0005705F">
              <w:t>-0.017</w:t>
            </w:r>
          </w:p>
        </w:tc>
        <w:tc>
          <w:tcPr>
            <w:tcW w:w="1742" w:type="dxa"/>
            <w:tcBorders>
              <w:top w:val="nil"/>
              <w:left w:val="nil"/>
              <w:bottom w:val="nil"/>
              <w:right w:val="nil"/>
            </w:tcBorders>
          </w:tcPr>
          <w:p w14:paraId="6C229735" w14:textId="77777777" w:rsidR="00841993" w:rsidRPr="0005705F" w:rsidRDefault="00841993" w:rsidP="00841993">
            <w:pPr>
              <w:jc w:val="center"/>
            </w:pPr>
            <w:r w:rsidRPr="0005705F">
              <w:t>-0.004</w:t>
            </w:r>
          </w:p>
        </w:tc>
        <w:tc>
          <w:tcPr>
            <w:tcW w:w="1606" w:type="dxa"/>
            <w:tcBorders>
              <w:top w:val="nil"/>
              <w:left w:val="nil"/>
              <w:bottom w:val="nil"/>
              <w:right w:val="nil"/>
            </w:tcBorders>
          </w:tcPr>
          <w:p w14:paraId="060FCC89" w14:textId="77777777" w:rsidR="00841993" w:rsidRPr="0005705F" w:rsidRDefault="00841993" w:rsidP="00841993">
            <w:pPr>
              <w:jc w:val="center"/>
            </w:pPr>
            <w:r w:rsidRPr="0005705F">
              <w:t>0.015**</w:t>
            </w:r>
          </w:p>
        </w:tc>
        <w:tc>
          <w:tcPr>
            <w:tcW w:w="1688" w:type="dxa"/>
            <w:tcBorders>
              <w:top w:val="nil"/>
              <w:left w:val="nil"/>
              <w:bottom w:val="nil"/>
              <w:right w:val="nil"/>
            </w:tcBorders>
          </w:tcPr>
          <w:p w14:paraId="2726560C" w14:textId="77777777" w:rsidR="00841993" w:rsidRPr="0005705F" w:rsidRDefault="00841993" w:rsidP="00841993">
            <w:pPr>
              <w:jc w:val="center"/>
            </w:pPr>
            <w:r w:rsidRPr="0005705F">
              <w:t>0.010</w:t>
            </w:r>
          </w:p>
        </w:tc>
        <w:tc>
          <w:tcPr>
            <w:tcW w:w="1781" w:type="dxa"/>
            <w:tcBorders>
              <w:top w:val="nil"/>
              <w:left w:val="nil"/>
              <w:bottom w:val="nil"/>
              <w:right w:val="nil"/>
            </w:tcBorders>
          </w:tcPr>
          <w:p w14:paraId="04BFDFA2" w14:textId="77777777" w:rsidR="00841993" w:rsidRPr="0005705F" w:rsidRDefault="00841993" w:rsidP="00841993">
            <w:pPr>
              <w:jc w:val="center"/>
            </w:pPr>
            <w:r w:rsidRPr="0005705F">
              <w:t>-0.015</w:t>
            </w:r>
          </w:p>
        </w:tc>
      </w:tr>
      <w:tr w:rsidR="00841993" w14:paraId="33605094" w14:textId="77777777" w:rsidTr="00841993">
        <w:trPr>
          <w:jc w:val="center"/>
        </w:trPr>
        <w:tc>
          <w:tcPr>
            <w:tcW w:w="2856" w:type="dxa"/>
            <w:tcBorders>
              <w:top w:val="nil"/>
              <w:left w:val="nil"/>
              <w:bottom w:val="nil"/>
              <w:right w:val="nil"/>
            </w:tcBorders>
          </w:tcPr>
          <w:p w14:paraId="363E2496" w14:textId="77777777" w:rsidR="00841993" w:rsidRPr="00B45C3B" w:rsidRDefault="00101683" w:rsidP="00841993">
            <w:pPr>
              <w:widowControl w:val="0"/>
              <w:autoSpaceDE w:val="0"/>
              <w:autoSpaceDN w:val="0"/>
              <w:adjustRightInd w:val="0"/>
            </w:pPr>
            <m:oMathPara>
              <m:oMathParaPr>
                <m:jc m:val="left"/>
              </m:oMathParaPr>
              <m:oMath>
                <m:sSub>
                  <m:sSubPr>
                    <m:ctrlPr>
                      <w:rPr>
                        <w:rFonts w:ascii="Cambria Math" w:hAnsi="Cambria Math"/>
                        <w:i/>
                      </w:rPr>
                    </m:ctrlPr>
                  </m:sSubPr>
                  <m:e>
                    <m:r>
                      <m:rPr>
                        <m:sty m:val="p"/>
                      </m:rPr>
                      <w:rPr>
                        <w:rFonts w:ascii="Cambria Math"/>
                      </w:rPr>
                      <m:t>turnout</m:t>
                    </m:r>
                  </m:e>
                  <m:sub>
                    <m:r>
                      <w:rPr>
                        <w:rFonts w:ascii="Cambria Math" w:hAnsi="Cambria Math"/>
                      </w:rPr>
                      <m:t>t-</m:t>
                    </m:r>
                    <m:r>
                      <w:rPr>
                        <w:rFonts w:ascii="Cambria Math"/>
                      </w:rPr>
                      <m:t>2</m:t>
                    </m:r>
                  </m:sub>
                </m:sSub>
              </m:oMath>
            </m:oMathPara>
          </w:p>
        </w:tc>
        <w:tc>
          <w:tcPr>
            <w:tcW w:w="1742" w:type="dxa"/>
            <w:tcBorders>
              <w:top w:val="nil"/>
              <w:left w:val="nil"/>
              <w:bottom w:val="nil"/>
              <w:right w:val="nil"/>
            </w:tcBorders>
          </w:tcPr>
          <w:p w14:paraId="090E6C3B" w14:textId="77777777" w:rsidR="00841993" w:rsidRPr="0005705F" w:rsidRDefault="00841993" w:rsidP="00841993">
            <w:pPr>
              <w:jc w:val="center"/>
            </w:pPr>
            <w:r w:rsidRPr="0005705F">
              <w:t>-0.010</w:t>
            </w:r>
          </w:p>
        </w:tc>
        <w:tc>
          <w:tcPr>
            <w:tcW w:w="1742" w:type="dxa"/>
            <w:tcBorders>
              <w:top w:val="nil"/>
              <w:left w:val="nil"/>
              <w:bottom w:val="nil"/>
              <w:right w:val="nil"/>
            </w:tcBorders>
          </w:tcPr>
          <w:p w14:paraId="095ACFD4" w14:textId="77777777" w:rsidR="00841993" w:rsidRPr="0005705F" w:rsidRDefault="00841993" w:rsidP="00841993">
            <w:pPr>
              <w:jc w:val="center"/>
            </w:pPr>
            <w:r w:rsidRPr="0005705F">
              <w:t>0.028</w:t>
            </w:r>
          </w:p>
        </w:tc>
        <w:tc>
          <w:tcPr>
            <w:tcW w:w="1742" w:type="dxa"/>
            <w:tcBorders>
              <w:top w:val="nil"/>
              <w:left w:val="nil"/>
              <w:bottom w:val="nil"/>
              <w:right w:val="nil"/>
            </w:tcBorders>
          </w:tcPr>
          <w:p w14:paraId="7BE3BAEC" w14:textId="77777777" w:rsidR="00841993" w:rsidRPr="0005705F" w:rsidRDefault="00841993" w:rsidP="00841993">
            <w:pPr>
              <w:jc w:val="center"/>
            </w:pPr>
            <w:r w:rsidRPr="0005705F">
              <w:t>-0.007</w:t>
            </w:r>
          </w:p>
        </w:tc>
        <w:tc>
          <w:tcPr>
            <w:tcW w:w="1606" w:type="dxa"/>
            <w:tcBorders>
              <w:top w:val="nil"/>
              <w:left w:val="nil"/>
              <w:bottom w:val="nil"/>
              <w:right w:val="nil"/>
            </w:tcBorders>
          </w:tcPr>
          <w:p w14:paraId="6A86F7CD" w14:textId="77777777" w:rsidR="00841993" w:rsidRPr="0005705F" w:rsidRDefault="00841993" w:rsidP="00841993">
            <w:pPr>
              <w:jc w:val="center"/>
            </w:pPr>
            <w:r w:rsidRPr="0005705F">
              <w:t>0.034***</w:t>
            </w:r>
          </w:p>
        </w:tc>
        <w:tc>
          <w:tcPr>
            <w:tcW w:w="1688" w:type="dxa"/>
            <w:tcBorders>
              <w:top w:val="nil"/>
              <w:left w:val="nil"/>
              <w:bottom w:val="nil"/>
              <w:right w:val="nil"/>
            </w:tcBorders>
          </w:tcPr>
          <w:p w14:paraId="56DD6E47" w14:textId="77777777" w:rsidR="00841993" w:rsidRPr="0005705F" w:rsidRDefault="00841993" w:rsidP="00841993">
            <w:pPr>
              <w:jc w:val="center"/>
            </w:pPr>
            <w:r w:rsidRPr="0005705F">
              <w:t>0.013</w:t>
            </w:r>
          </w:p>
        </w:tc>
        <w:tc>
          <w:tcPr>
            <w:tcW w:w="1781" w:type="dxa"/>
            <w:tcBorders>
              <w:top w:val="nil"/>
              <w:left w:val="nil"/>
              <w:bottom w:val="nil"/>
              <w:right w:val="nil"/>
            </w:tcBorders>
          </w:tcPr>
          <w:p w14:paraId="07DC8ED6" w14:textId="77777777" w:rsidR="00841993" w:rsidRPr="0005705F" w:rsidRDefault="00841993" w:rsidP="00841993">
            <w:pPr>
              <w:jc w:val="center"/>
            </w:pPr>
            <w:r w:rsidRPr="0005705F">
              <w:t>-0.010</w:t>
            </w:r>
          </w:p>
        </w:tc>
      </w:tr>
      <w:tr w:rsidR="00841993" w14:paraId="058BEB5B" w14:textId="77777777" w:rsidTr="00841993">
        <w:trPr>
          <w:jc w:val="center"/>
        </w:trPr>
        <w:tc>
          <w:tcPr>
            <w:tcW w:w="2856" w:type="dxa"/>
            <w:tcBorders>
              <w:top w:val="nil"/>
              <w:left w:val="nil"/>
              <w:bottom w:val="nil"/>
              <w:right w:val="nil"/>
            </w:tcBorders>
          </w:tcPr>
          <w:p w14:paraId="11001762" w14:textId="77777777" w:rsidR="00841993" w:rsidRPr="00B45C3B" w:rsidRDefault="00841993" w:rsidP="00841993">
            <w:pPr>
              <w:widowControl w:val="0"/>
              <w:autoSpaceDE w:val="0"/>
              <w:autoSpaceDN w:val="0"/>
              <w:adjustRightInd w:val="0"/>
            </w:pPr>
            <w:r w:rsidRPr="00B45C3B">
              <w:t>L∆GDP/pcp</w:t>
            </w:r>
          </w:p>
        </w:tc>
        <w:tc>
          <w:tcPr>
            <w:tcW w:w="1742" w:type="dxa"/>
            <w:tcBorders>
              <w:top w:val="nil"/>
              <w:left w:val="nil"/>
              <w:bottom w:val="nil"/>
              <w:right w:val="nil"/>
            </w:tcBorders>
          </w:tcPr>
          <w:p w14:paraId="4B8DC75E" w14:textId="77777777" w:rsidR="00841993" w:rsidRPr="0005705F" w:rsidRDefault="00841993" w:rsidP="00841993">
            <w:pPr>
              <w:jc w:val="center"/>
            </w:pPr>
            <w:r w:rsidRPr="0005705F">
              <w:t>0.000</w:t>
            </w:r>
          </w:p>
        </w:tc>
        <w:tc>
          <w:tcPr>
            <w:tcW w:w="1742" w:type="dxa"/>
            <w:tcBorders>
              <w:top w:val="nil"/>
              <w:left w:val="nil"/>
              <w:bottom w:val="nil"/>
              <w:right w:val="nil"/>
            </w:tcBorders>
          </w:tcPr>
          <w:p w14:paraId="192646E7" w14:textId="77777777" w:rsidR="00841993" w:rsidRPr="0005705F" w:rsidRDefault="00841993" w:rsidP="00841993">
            <w:pPr>
              <w:jc w:val="center"/>
            </w:pPr>
            <w:r w:rsidRPr="0005705F">
              <w:t>-0.000***</w:t>
            </w:r>
          </w:p>
        </w:tc>
        <w:tc>
          <w:tcPr>
            <w:tcW w:w="1742" w:type="dxa"/>
            <w:tcBorders>
              <w:top w:val="nil"/>
              <w:left w:val="nil"/>
              <w:bottom w:val="nil"/>
              <w:right w:val="nil"/>
            </w:tcBorders>
          </w:tcPr>
          <w:p w14:paraId="6C7AD904" w14:textId="77777777" w:rsidR="00841993" w:rsidRPr="0005705F" w:rsidRDefault="00841993" w:rsidP="00841993">
            <w:pPr>
              <w:jc w:val="center"/>
            </w:pPr>
            <w:r w:rsidRPr="0005705F">
              <w:t>0.000</w:t>
            </w:r>
          </w:p>
        </w:tc>
        <w:tc>
          <w:tcPr>
            <w:tcW w:w="1606" w:type="dxa"/>
            <w:tcBorders>
              <w:top w:val="nil"/>
              <w:left w:val="nil"/>
              <w:bottom w:val="nil"/>
              <w:right w:val="nil"/>
            </w:tcBorders>
          </w:tcPr>
          <w:p w14:paraId="3FE46B22" w14:textId="77777777" w:rsidR="00841993" w:rsidRPr="0005705F" w:rsidRDefault="00841993" w:rsidP="00841993">
            <w:pPr>
              <w:jc w:val="center"/>
            </w:pPr>
            <w:r w:rsidRPr="0005705F">
              <w:t>0.000</w:t>
            </w:r>
          </w:p>
        </w:tc>
        <w:tc>
          <w:tcPr>
            <w:tcW w:w="1688" w:type="dxa"/>
            <w:tcBorders>
              <w:top w:val="nil"/>
              <w:left w:val="nil"/>
              <w:bottom w:val="nil"/>
              <w:right w:val="nil"/>
            </w:tcBorders>
          </w:tcPr>
          <w:p w14:paraId="38EEDAC8" w14:textId="77777777" w:rsidR="00841993" w:rsidRPr="0005705F" w:rsidRDefault="00841993" w:rsidP="00841993">
            <w:pPr>
              <w:jc w:val="center"/>
            </w:pPr>
            <w:r w:rsidRPr="0005705F">
              <w:t>0.000</w:t>
            </w:r>
          </w:p>
        </w:tc>
        <w:tc>
          <w:tcPr>
            <w:tcW w:w="1781" w:type="dxa"/>
            <w:tcBorders>
              <w:top w:val="nil"/>
              <w:left w:val="nil"/>
              <w:bottom w:val="nil"/>
              <w:right w:val="nil"/>
            </w:tcBorders>
          </w:tcPr>
          <w:p w14:paraId="3E4C05EB" w14:textId="77777777" w:rsidR="00841993" w:rsidRPr="0005705F" w:rsidRDefault="00841993" w:rsidP="00841993">
            <w:pPr>
              <w:jc w:val="center"/>
            </w:pPr>
            <w:r w:rsidRPr="0005705F">
              <w:t>0.000</w:t>
            </w:r>
          </w:p>
        </w:tc>
      </w:tr>
      <w:tr w:rsidR="00841993" w14:paraId="3CED1BB9" w14:textId="77777777" w:rsidTr="00841993">
        <w:trPr>
          <w:jc w:val="center"/>
        </w:trPr>
        <w:tc>
          <w:tcPr>
            <w:tcW w:w="2856" w:type="dxa"/>
            <w:tcBorders>
              <w:top w:val="nil"/>
              <w:left w:val="nil"/>
              <w:bottom w:val="nil"/>
              <w:right w:val="nil"/>
            </w:tcBorders>
          </w:tcPr>
          <w:p w14:paraId="63D0B382" w14:textId="77777777" w:rsidR="00841993" w:rsidRPr="00B45C3B" w:rsidRDefault="00101683" w:rsidP="00841993">
            <w:pPr>
              <w:widowControl w:val="0"/>
              <w:autoSpaceDE w:val="0"/>
              <w:autoSpaceDN w:val="0"/>
              <w:adjustRightInd w:val="0"/>
            </w:pPr>
            <m:oMathPara>
              <m:oMathParaPr>
                <m:jc m:val="left"/>
              </m:oMathParaPr>
              <m:oMath>
                <m:sSub>
                  <m:sSubPr>
                    <m:ctrlPr>
                      <w:rPr>
                        <w:rFonts w:ascii="Cambria Math" w:hAnsi="Cambria Math"/>
                        <w:i/>
                      </w:rPr>
                    </m:ctrlPr>
                  </m:sSubPr>
                  <m:e>
                    <m:r>
                      <m:rPr>
                        <m:sty m:val="p"/>
                      </m:rPr>
                      <w:rPr>
                        <w:rFonts w:ascii="Cambria Math"/>
                      </w:rPr>
                      <m:t>GDP/pcp</m:t>
                    </m:r>
                  </m:e>
                  <m:sub>
                    <m:r>
                      <w:rPr>
                        <w:rFonts w:ascii="Cambria Math" w:hAnsi="Cambria Math"/>
                      </w:rPr>
                      <m:t>t-</m:t>
                    </m:r>
                    <m:r>
                      <w:rPr>
                        <w:rFonts w:ascii="Cambria Math"/>
                      </w:rPr>
                      <m:t>2</m:t>
                    </m:r>
                  </m:sub>
                </m:sSub>
              </m:oMath>
            </m:oMathPara>
          </w:p>
        </w:tc>
        <w:tc>
          <w:tcPr>
            <w:tcW w:w="1742" w:type="dxa"/>
            <w:tcBorders>
              <w:top w:val="nil"/>
              <w:left w:val="nil"/>
              <w:bottom w:val="nil"/>
              <w:right w:val="nil"/>
            </w:tcBorders>
          </w:tcPr>
          <w:p w14:paraId="58837DEF" w14:textId="77777777" w:rsidR="00841993" w:rsidRPr="0005705F" w:rsidRDefault="00841993" w:rsidP="00841993">
            <w:pPr>
              <w:jc w:val="center"/>
            </w:pPr>
            <w:r w:rsidRPr="0005705F">
              <w:t>-0.000*</w:t>
            </w:r>
          </w:p>
        </w:tc>
        <w:tc>
          <w:tcPr>
            <w:tcW w:w="1742" w:type="dxa"/>
            <w:tcBorders>
              <w:top w:val="nil"/>
              <w:left w:val="nil"/>
              <w:bottom w:val="nil"/>
              <w:right w:val="nil"/>
            </w:tcBorders>
          </w:tcPr>
          <w:p w14:paraId="47830F64" w14:textId="77777777" w:rsidR="00841993" w:rsidRPr="0005705F" w:rsidRDefault="00841993" w:rsidP="00841993">
            <w:pPr>
              <w:jc w:val="center"/>
            </w:pPr>
            <w:r w:rsidRPr="0005705F">
              <w:t>-0.000***</w:t>
            </w:r>
          </w:p>
        </w:tc>
        <w:tc>
          <w:tcPr>
            <w:tcW w:w="1742" w:type="dxa"/>
            <w:tcBorders>
              <w:top w:val="nil"/>
              <w:left w:val="nil"/>
              <w:bottom w:val="nil"/>
              <w:right w:val="nil"/>
            </w:tcBorders>
          </w:tcPr>
          <w:p w14:paraId="09F259CE" w14:textId="77777777" w:rsidR="00841993" w:rsidRPr="0005705F" w:rsidRDefault="00841993" w:rsidP="00841993">
            <w:pPr>
              <w:jc w:val="center"/>
            </w:pPr>
            <w:r w:rsidRPr="0005705F">
              <w:t>-0.000</w:t>
            </w:r>
          </w:p>
        </w:tc>
        <w:tc>
          <w:tcPr>
            <w:tcW w:w="1606" w:type="dxa"/>
            <w:tcBorders>
              <w:top w:val="nil"/>
              <w:left w:val="nil"/>
              <w:bottom w:val="nil"/>
              <w:right w:val="nil"/>
            </w:tcBorders>
          </w:tcPr>
          <w:p w14:paraId="316BEB95" w14:textId="77777777" w:rsidR="00841993" w:rsidRPr="0005705F" w:rsidRDefault="00841993" w:rsidP="00841993">
            <w:pPr>
              <w:jc w:val="center"/>
            </w:pPr>
            <w:r w:rsidRPr="0005705F">
              <w:t>-0.000***</w:t>
            </w:r>
          </w:p>
        </w:tc>
        <w:tc>
          <w:tcPr>
            <w:tcW w:w="1688" w:type="dxa"/>
            <w:tcBorders>
              <w:top w:val="nil"/>
              <w:left w:val="nil"/>
              <w:bottom w:val="nil"/>
              <w:right w:val="nil"/>
            </w:tcBorders>
          </w:tcPr>
          <w:p w14:paraId="1439925E" w14:textId="77777777" w:rsidR="00841993" w:rsidRPr="0005705F" w:rsidRDefault="00841993" w:rsidP="00841993">
            <w:pPr>
              <w:jc w:val="center"/>
            </w:pPr>
            <w:r w:rsidRPr="0005705F">
              <w:t>0.000</w:t>
            </w:r>
          </w:p>
        </w:tc>
        <w:tc>
          <w:tcPr>
            <w:tcW w:w="1781" w:type="dxa"/>
            <w:tcBorders>
              <w:top w:val="nil"/>
              <w:left w:val="nil"/>
              <w:bottom w:val="nil"/>
              <w:right w:val="nil"/>
            </w:tcBorders>
          </w:tcPr>
          <w:p w14:paraId="7FB0CE73" w14:textId="77777777" w:rsidR="00841993" w:rsidRPr="0005705F" w:rsidRDefault="00841993" w:rsidP="00841993">
            <w:pPr>
              <w:jc w:val="center"/>
            </w:pPr>
            <w:r w:rsidRPr="0005705F">
              <w:t>-0.000</w:t>
            </w:r>
          </w:p>
        </w:tc>
      </w:tr>
      <w:tr w:rsidR="00841993" w14:paraId="0D9EB860" w14:textId="77777777" w:rsidTr="00841993">
        <w:trPr>
          <w:jc w:val="center"/>
        </w:trPr>
        <w:tc>
          <w:tcPr>
            <w:tcW w:w="2856" w:type="dxa"/>
            <w:tcBorders>
              <w:top w:val="nil"/>
              <w:left w:val="nil"/>
              <w:bottom w:val="nil"/>
              <w:right w:val="nil"/>
            </w:tcBorders>
          </w:tcPr>
          <w:p w14:paraId="6F4D4B1E" w14:textId="77777777" w:rsidR="00841993" w:rsidRPr="00B45C3B" w:rsidRDefault="00841993" w:rsidP="00841993">
            <w:pPr>
              <w:widowControl w:val="0"/>
              <w:autoSpaceDE w:val="0"/>
              <w:autoSpaceDN w:val="0"/>
              <w:adjustRightInd w:val="0"/>
            </w:pPr>
            <w:r w:rsidRPr="00B45C3B">
              <w:t>L∆unemployment</w:t>
            </w:r>
          </w:p>
        </w:tc>
        <w:tc>
          <w:tcPr>
            <w:tcW w:w="1742" w:type="dxa"/>
            <w:tcBorders>
              <w:top w:val="nil"/>
              <w:left w:val="nil"/>
              <w:bottom w:val="nil"/>
              <w:right w:val="nil"/>
            </w:tcBorders>
          </w:tcPr>
          <w:p w14:paraId="03479F9C" w14:textId="77777777" w:rsidR="00841993" w:rsidRPr="0005705F" w:rsidRDefault="00841993" w:rsidP="00841993">
            <w:pPr>
              <w:jc w:val="center"/>
            </w:pPr>
            <w:r w:rsidRPr="0005705F">
              <w:t>-0.002</w:t>
            </w:r>
          </w:p>
        </w:tc>
        <w:tc>
          <w:tcPr>
            <w:tcW w:w="1742" w:type="dxa"/>
            <w:tcBorders>
              <w:top w:val="nil"/>
              <w:left w:val="nil"/>
              <w:bottom w:val="nil"/>
              <w:right w:val="nil"/>
            </w:tcBorders>
          </w:tcPr>
          <w:p w14:paraId="6DC2D1C0" w14:textId="77777777" w:rsidR="00841993" w:rsidRPr="0005705F" w:rsidRDefault="00841993" w:rsidP="00841993">
            <w:pPr>
              <w:jc w:val="center"/>
            </w:pPr>
            <w:r w:rsidRPr="0005705F">
              <w:t>-0.047</w:t>
            </w:r>
          </w:p>
        </w:tc>
        <w:tc>
          <w:tcPr>
            <w:tcW w:w="1742" w:type="dxa"/>
            <w:tcBorders>
              <w:top w:val="nil"/>
              <w:left w:val="nil"/>
              <w:bottom w:val="nil"/>
              <w:right w:val="nil"/>
            </w:tcBorders>
          </w:tcPr>
          <w:p w14:paraId="65F5A7CA" w14:textId="77777777" w:rsidR="00841993" w:rsidRPr="0005705F" w:rsidRDefault="00841993" w:rsidP="00841993">
            <w:pPr>
              <w:jc w:val="center"/>
            </w:pPr>
            <w:r w:rsidRPr="0005705F">
              <w:t>0.017</w:t>
            </w:r>
          </w:p>
        </w:tc>
        <w:tc>
          <w:tcPr>
            <w:tcW w:w="1606" w:type="dxa"/>
            <w:tcBorders>
              <w:top w:val="nil"/>
              <w:left w:val="nil"/>
              <w:bottom w:val="nil"/>
              <w:right w:val="nil"/>
            </w:tcBorders>
          </w:tcPr>
          <w:p w14:paraId="1C32D6AA" w14:textId="77777777" w:rsidR="00841993" w:rsidRPr="0005705F" w:rsidRDefault="00841993" w:rsidP="00841993">
            <w:pPr>
              <w:jc w:val="center"/>
            </w:pPr>
            <w:r w:rsidRPr="0005705F">
              <w:t>0.004</w:t>
            </w:r>
          </w:p>
        </w:tc>
        <w:tc>
          <w:tcPr>
            <w:tcW w:w="1688" w:type="dxa"/>
            <w:tcBorders>
              <w:top w:val="nil"/>
              <w:left w:val="nil"/>
              <w:bottom w:val="nil"/>
              <w:right w:val="nil"/>
            </w:tcBorders>
          </w:tcPr>
          <w:p w14:paraId="6561E8E9" w14:textId="77777777" w:rsidR="00841993" w:rsidRPr="0005705F" w:rsidRDefault="00841993" w:rsidP="00841993">
            <w:pPr>
              <w:jc w:val="center"/>
            </w:pPr>
            <w:r w:rsidRPr="0005705F">
              <w:t>-0.032</w:t>
            </w:r>
          </w:p>
        </w:tc>
        <w:tc>
          <w:tcPr>
            <w:tcW w:w="1781" w:type="dxa"/>
            <w:tcBorders>
              <w:top w:val="nil"/>
              <w:left w:val="nil"/>
              <w:bottom w:val="nil"/>
              <w:right w:val="nil"/>
            </w:tcBorders>
          </w:tcPr>
          <w:p w14:paraId="7831127A" w14:textId="77777777" w:rsidR="00841993" w:rsidRPr="0005705F" w:rsidRDefault="00841993" w:rsidP="00841993">
            <w:pPr>
              <w:jc w:val="center"/>
            </w:pPr>
            <w:r w:rsidRPr="0005705F">
              <w:t>-0.014</w:t>
            </w:r>
          </w:p>
        </w:tc>
      </w:tr>
      <w:tr w:rsidR="00841993" w14:paraId="4A9E4D2D" w14:textId="77777777" w:rsidTr="00841993">
        <w:trPr>
          <w:jc w:val="center"/>
        </w:trPr>
        <w:tc>
          <w:tcPr>
            <w:tcW w:w="2856" w:type="dxa"/>
            <w:tcBorders>
              <w:top w:val="nil"/>
              <w:left w:val="nil"/>
              <w:bottom w:val="nil"/>
              <w:right w:val="nil"/>
            </w:tcBorders>
          </w:tcPr>
          <w:p w14:paraId="1D13FDA3" w14:textId="77777777" w:rsidR="00841993" w:rsidRPr="00B45C3B" w:rsidRDefault="00101683" w:rsidP="00841993">
            <w:pPr>
              <w:widowControl w:val="0"/>
              <w:autoSpaceDE w:val="0"/>
              <w:autoSpaceDN w:val="0"/>
              <w:adjustRightInd w:val="0"/>
            </w:pPr>
            <m:oMathPara>
              <m:oMathParaPr>
                <m:jc m:val="left"/>
              </m:oMathParaPr>
              <m:oMath>
                <m:sSub>
                  <m:sSubPr>
                    <m:ctrlPr>
                      <w:rPr>
                        <w:rFonts w:ascii="Cambria Math" w:hAnsi="Cambria Math"/>
                        <w:i/>
                      </w:rPr>
                    </m:ctrlPr>
                  </m:sSubPr>
                  <m:e>
                    <m:r>
                      <m:rPr>
                        <m:sty m:val="p"/>
                      </m:rPr>
                      <w:rPr>
                        <w:rFonts w:ascii="Cambria Math"/>
                      </w:rPr>
                      <m:t>unemployment</m:t>
                    </m:r>
                  </m:e>
                  <m:sub>
                    <m:r>
                      <w:rPr>
                        <w:rFonts w:ascii="Cambria Math" w:hAnsi="Cambria Math"/>
                      </w:rPr>
                      <m:t>t-</m:t>
                    </m:r>
                    <m:r>
                      <w:rPr>
                        <w:rFonts w:ascii="Cambria Math"/>
                      </w:rPr>
                      <m:t>2</m:t>
                    </m:r>
                  </m:sub>
                </m:sSub>
              </m:oMath>
            </m:oMathPara>
          </w:p>
        </w:tc>
        <w:tc>
          <w:tcPr>
            <w:tcW w:w="1742" w:type="dxa"/>
            <w:tcBorders>
              <w:top w:val="nil"/>
              <w:left w:val="nil"/>
              <w:bottom w:val="nil"/>
              <w:right w:val="nil"/>
            </w:tcBorders>
          </w:tcPr>
          <w:p w14:paraId="22F629FD" w14:textId="77777777" w:rsidR="00841993" w:rsidRPr="0005705F" w:rsidRDefault="00841993" w:rsidP="00841993">
            <w:pPr>
              <w:jc w:val="center"/>
            </w:pPr>
            <w:r w:rsidRPr="0005705F">
              <w:t>0.004</w:t>
            </w:r>
          </w:p>
        </w:tc>
        <w:tc>
          <w:tcPr>
            <w:tcW w:w="1742" w:type="dxa"/>
            <w:tcBorders>
              <w:top w:val="nil"/>
              <w:left w:val="nil"/>
              <w:bottom w:val="nil"/>
              <w:right w:val="nil"/>
            </w:tcBorders>
          </w:tcPr>
          <w:p w14:paraId="58B5853B" w14:textId="77777777" w:rsidR="00841993" w:rsidRPr="0005705F" w:rsidRDefault="00841993" w:rsidP="00841993">
            <w:pPr>
              <w:jc w:val="center"/>
            </w:pPr>
            <w:r w:rsidRPr="0005705F">
              <w:t>0.045</w:t>
            </w:r>
          </w:p>
        </w:tc>
        <w:tc>
          <w:tcPr>
            <w:tcW w:w="1742" w:type="dxa"/>
            <w:tcBorders>
              <w:top w:val="nil"/>
              <w:left w:val="nil"/>
              <w:bottom w:val="nil"/>
              <w:right w:val="nil"/>
            </w:tcBorders>
          </w:tcPr>
          <w:p w14:paraId="46C51CB9" w14:textId="77777777" w:rsidR="00841993" w:rsidRPr="0005705F" w:rsidRDefault="00841993" w:rsidP="00841993">
            <w:pPr>
              <w:jc w:val="center"/>
            </w:pPr>
            <w:r w:rsidRPr="0005705F">
              <w:t>-0.077**</w:t>
            </w:r>
          </w:p>
        </w:tc>
        <w:tc>
          <w:tcPr>
            <w:tcW w:w="1606" w:type="dxa"/>
            <w:tcBorders>
              <w:top w:val="nil"/>
              <w:left w:val="nil"/>
              <w:bottom w:val="nil"/>
              <w:right w:val="nil"/>
            </w:tcBorders>
          </w:tcPr>
          <w:p w14:paraId="12EBBB74" w14:textId="77777777" w:rsidR="00841993" w:rsidRPr="0005705F" w:rsidRDefault="00841993" w:rsidP="00841993">
            <w:pPr>
              <w:jc w:val="center"/>
            </w:pPr>
            <w:r w:rsidRPr="0005705F">
              <w:t>0.027</w:t>
            </w:r>
          </w:p>
        </w:tc>
        <w:tc>
          <w:tcPr>
            <w:tcW w:w="1688" w:type="dxa"/>
            <w:tcBorders>
              <w:top w:val="nil"/>
              <w:left w:val="nil"/>
              <w:bottom w:val="nil"/>
              <w:right w:val="nil"/>
            </w:tcBorders>
          </w:tcPr>
          <w:p w14:paraId="7883073C" w14:textId="77777777" w:rsidR="00841993" w:rsidRPr="0005705F" w:rsidRDefault="00841993" w:rsidP="00841993">
            <w:pPr>
              <w:jc w:val="center"/>
            </w:pPr>
            <w:r w:rsidRPr="0005705F">
              <w:t>-0.052</w:t>
            </w:r>
          </w:p>
        </w:tc>
        <w:tc>
          <w:tcPr>
            <w:tcW w:w="1781" w:type="dxa"/>
            <w:tcBorders>
              <w:top w:val="nil"/>
              <w:left w:val="nil"/>
              <w:bottom w:val="nil"/>
              <w:right w:val="nil"/>
            </w:tcBorders>
          </w:tcPr>
          <w:p w14:paraId="55B98E8B" w14:textId="77777777" w:rsidR="00841993" w:rsidRPr="0005705F" w:rsidRDefault="00841993" w:rsidP="00841993">
            <w:pPr>
              <w:jc w:val="center"/>
            </w:pPr>
            <w:r w:rsidRPr="0005705F">
              <w:t>-0.006</w:t>
            </w:r>
          </w:p>
        </w:tc>
      </w:tr>
      <w:tr w:rsidR="00841993" w14:paraId="4BF43AA7" w14:textId="77777777" w:rsidTr="00841993">
        <w:trPr>
          <w:jc w:val="center"/>
        </w:trPr>
        <w:tc>
          <w:tcPr>
            <w:tcW w:w="2856" w:type="dxa"/>
            <w:tcBorders>
              <w:top w:val="nil"/>
              <w:left w:val="nil"/>
              <w:bottom w:val="nil"/>
              <w:right w:val="nil"/>
            </w:tcBorders>
          </w:tcPr>
          <w:p w14:paraId="360399A8" w14:textId="77777777" w:rsidR="00841993" w:rsidRPr="00B45C3B" w:rsidRDefault="00841993" w:rsidP="00841993">
            <w:pPr>
              <w:widowControl w:val="0"/>
              <w:autoSpaceDE w:val="0"/>
              <w:autoSpaceDN w:val="0"/>
              <w:adjustRightInd w:val="0"/>
            </w:pPr>
            <w:r w:rsidRPr="00B45C3B">
              <w:t>L∆</w:t>
            </w:r>
            <w:r>
              <w:t>exports</w:t>
            </w:r>
          </w:p>
        </w:tc>
        <w:tc>
          <w:tcPr>
            <w:tcW w:w="1742" w:type="dxa"/>
            <w:tcBorders>
              <w:top w:val="nil"/>
              <w:left w:val="nil"/>
              <w:bottom w:val="nil"/>
              <w:right w:val="nil"/>
            </w:tcBorders>
          </w:tcPr>
          <w:p w14:paraId="432A817F" w14:textId="77777777" w:rsidR="00841993" w:rsidRPr="0005705F" w:rsidRDefault="00841993" w:rsidP="00841993">
            <w:pPr>
              <w:jc w:val="center"/>
            </w:pPr>
            <w:r w:rsidRPr="0005705F">
              <w:t>0.000*</w:t>
            </w:r>
          </w:p>
        </w:tc>
        <w:tc>
          <w:tcPr>
            <w:tcW w:w="1742" w:type="dxa"/>
            <w:tcBorders>
              <w:top w:val="nil"/>
              <w:left w:val="nil"/>
              <w:bottom w:val="nil"/>
              <w:right w:val="nil"/>
            </w:tcBorders>
          </w:tcPr>
          <w:p w14:paraId="50B6B935" w14:textId="77777777" w:rsidR="00841993" w:rsidRPr="0005705F" w:rsidRDefault="00841993" w:rsidP="00841993">
            <w:pPr>
              <w:jc w:val="center"/>
            </w:pPr>
            <w:r w:rsidRPr="0005705F">
              <w:t>0.000</w:t>
            </w:r>
          </w:p>
        </w:tc>
        <w:tc>
          <w:tcPr>
            <w:tcW w:w="1742" w:type="dxa"/>
            <w:tcBorders>
              <w:top w:val="nil"/>
              <w:left w:val="nil"/>
              <w:bottom w:val="nil"/>
              <w:right w:val="nil"/>
            </w:tcBorders>
          </w:tcPr>
          <w:p w14:paraId="0CEBF874" w14:textId="77777777" w:rsidR="00841993" w:rsidRPr="0005705F" w:rsidRDefault="00841993" w:rsidP="00841993">
            <w:pPr>
              <w:jc w:val="center"/>
            </w:pPr>
            <w:r w:rsidRPr="0005705F">
              <w:t>0.000</w:t>
            </w:r>
          </w:p>
        </w:tc>
        <w:tc>
          <w:tcPr>
            <w:tcW w:w="1606" w:type="dxa"/>
            <w:tcBorders>
              <w:top w:val="nil"/>
              <w:left w:val="nil"/>
              <w:bottom w:val="nil"/>
              <w:right w:val="nil"/>
            </w:tcBorders>
          </w:tcPr>
          <w:p w14:paraId="53A73795" w14:textId="77777777" w:rsidR="00841993" w:rsidRPr="0005705F" w:rsidRDefault="00841993" w:rsidP="00841993">
            <w:pPr>
              <w:jc w:val="center"/>
            </w:pPr>
            <w:r w:rsidRPr="0005705F">
              <w:t>-0.000</w:t>
            </w:r>
          </w:p>
        </w:tc>
        <w:tc>
          <w:tcPr>
            <w:tcW w:w="1688" w:type="dxa"/>
            <w:tcBorders>
              <w:top w:val="nil"/>
              <w:left w:val="nil"/>
              <w:bottom w:val="nil"/>
              <w:right w:val="nil"/>
            </w:tcBorders>
          </w:tcPr>
          <w:p w14:paraId="510C26DF" w14:textId="77777777" w:rsidR="00841993" w:rsidRPr="0005705F" w:rsidRDefault="00841993" w:rsidP="00841993">
            <w:pPr>
              <w:jc w:val="center"/>
            </w:pPr>
            <w:r w:rsidRPr="0005705F">
              <w:t>0.000</w:t>
            </w:r>
          </w:p>
        </w:tc>
        <w:tc>
          <w:tcPr>
            <w:tcW w:w="1781" w:type="dxa"/>
            <w:tcBorders>
              <w:top w:val="nil"/>
              <w:left w:val="nil"/>
              <w:bottom w:val="nil"/>
              <w:right w:val="nil"/>
            </w:tcBorders>
          </w:tcPr>
          <w:p w14:paraId="5A3C0763" w14:textId="77777777" w:rsidR="00841993" w:rsidRPr="0005705F" w:rsidRDefault="00841993" w:rsidP="00841993">
            <w:pPr>
              <w:jc w:val="center"/>
            </w:pPr>
            <w:r w:rsidRPr="0005705F">
              <w:t>-0.000</w:t>
            </w:r>
          </w:p>
        </w:tc>
      </w:tr>
      <w:tr w:rsidR="00841993" w14:paraId="3F8C074A" w14:textId="77777777" w:rsidTr="00841993">
        <w:trPr>
          <w:jc w:val="center"/>
        </w:trPr>
        <w:tc>
          <w:tcPr>
            <w:tcW w:w="2856" w:type="dxa"/>
            <w:tcBorders>
              <w:top w:val="nil"/>
              <w:left w:val="nil"/>
              <w:bottom w:val="nil"/>
              <w:right w:val="nil"/>
            </w:tcBorders>
          </w:tcPr>
          <w:p w14:paraId="737B02C3" w14:textId="77777777" w:rsidR="00841993" w:rsidRPr="00B45C3B" w:rsidRDefault="00101683" w:rsidP="00841993">
            <w:pPr>
              <w:widowControl w:val="0"/>
              <w:autoSpaceDE w:val="0"/>
              <w:autoSpaceDN w:val="0"/>
              <w:adjustRightInd w:val="0"/>
            </w:pPr>
            <m:oMathPara>
              <m:oMathParaPr>
                <m:jc m:val="left"/>
              </m:oMathParaPr>
              <m:oMath>
                <m:sSub>
                  <m:sSubPr>
                    <m:ctrlPr>
                      <w:rPr>
                        <w:rFonts w:ascii="Cambria Math" w:hAnsi="Cambria Math"/>
                        <w:i/>
                      </w:rPr>
                    </m:ctrlPr>
                  </m:sSubPr>
                  <m:e>
                    <m:r>
                      <m:rPr>
                        <m:sty m:val="p"/>
                      </m:rPr>
                      <w:rPr>
                        <w:rFonts w:ascii="Cambria Math"/>
                      </w:rPr>
                      <m:t>exports</m:t>
                    </m:r>
                  </m:e>
                  <m:sub>
                    <m:r>
                      <w:rPr>
                        <w:rFonts w:ascii="Cambria Math" w:hAnsi="Cambria Math"/>
                      </w:rPr>
                      <m:t>t-</m:t>
                    </m:r>
                    <m:r>
                      <w:rPr>
                        <w:rFonts w:ascii="Cambria Math"/>
                      </w:rPr>
                      <m:t>2</m:t>
                    </m:r>
                  </m:sub>
                </m:sSub>
              </m:oMath>
            </m:oMathPara>
          </w:p>
        </w:tc>
        <w:tc>
          <w:tcPr>
            <w:tcW w:w="1742" w:type="dxa"/>
            <w:tcBorders>
              <w:top w:val="nil"/>
              <w:left w:val="nil"/>
              <w:bottom w:val="nil"/>
              <w:right w:val="nil"/>
            </w:tcBorders>
          </w:tcPr>
          <w:p w14:paraId="5125FAD5" w14:textId="77777777" w:rsidR="00841993" w:rsidRPr="0005705F" w:rsidRDefault="00841993" w:rsidP="00841993">
            <w:pPr>
              <w:jc w:val="center"/>
            </w:pPr>
            <w:r w:rsidRPr="0005705F">
              <w:t>0.000</w:t>
            </w:r>
          </w:p>
        </w:tc>
        <w:tc>
          <w:tcPr>
            <w:tcW w:w="1742" w:type="dxa"/>
            <w:tcBorders>
              <w:top w:val="nil"/>
              <w:left w:val="nil"/>
              <w:bottom w:val="nil"/>
              <w:right w:val="nil"/>
            </w:tcBorders>
          </w:tcPr>
          <w:p w14:paraId="3914B14B" w14:textId="77777777" w:rsidR="00841993" w:rsidRPr="0005705F" w:rsidRDefault="00841993" w:rsidP="00841993">
            <w:pPr>
              <w:jc w:val="center"/>
            </w:pPr>
            <w:r w:rsidRPr="0005705F">
              <w:t>0.000</w:t>
            </w:r>
          </w:p>
        </w:tc>
        <w:tc>
          <w:tcPr>
            <w:tcW w:w="1742" w:type="dxa"/>
            <w:tcBorders>
              <w:top w:val="nil"/>
              <w:left w:val="nil"/>
              <w:bottom w:val="nil"/>
              <w:right w:val="nil"/>
            </w:tcBorders>
          </w:tcPr>
          <w:p w14:paraId="69E26402" w14:textId="77777777" w:rsidR="00841993" w:rsidRPr="0005705F" w:rsidRDefault="00841993" w:rsidP="00841993">
            <w:pPr>
              <w:jc w:val="center"/>
            </w:pPr>
            <w:r w:rsidRPr="0005705F">
              <w:t>-0.000</w:t>
            </w:r>
          </w:p>
        </w:tc>
        <w:tc>
          <w:tcPr>
            <w:tcW w:w="1606" w:type="dxa"/>
            <w:tcBorders>
              <w:top w:val="nil"/>
              <w:left w:val="nil"/>
              <w:bottom w:val="nil"/>
              <w:right w:val="nil"/>
            </w:tcBorders>
          </w:tcPr>
          <w:p w14:paraId="2D2391CB" w14:textId="77777777" w:rsidR="00841993" w:rsidRPr="0005705F" w:rsidRDefault="00841993" w:rsidP="00841993">
            <w:pPr>
              <w:jc w:val="center"/>
            </w:pPr>
            <w:r w:rsidRPr="0005705F">
              <w:t>-0.000</w:t>
            </w:r>
          </w:p>
        </w:tc>
        <w:tc>
          <w:tcPr>
            <w:tcW w:w="1688" w:type="dxa"/>
            <w:tcBorders>
              <w:top w:val="nil"/>
              <w:left w:val="nil"/>
              <w:bottom w:val="nil"/>
              <w:right w:val="nil"/>
            </w:tcBorders>
          </w:tcPr>
          <w:p w14:paraId="489CF642" w14:textId="77777777" w:rsidR="00841993" w:rsidRPr="0005705F" w:rsidRDefault="00841993" w:rsidP="00841993">
            <w:pPr>
              <w:jc w:val="center"/>
            </w:pPr>
            <w:r w:rsidRPr="0005705F">
              <w:t>0.000*</w:t>
            </w:r>
          </w:p>
        </w:tc>
        <w:tc>
          <w:tcPr>
            <w:tcW w:w="1781" w:type="dxa"/>
            <w:tcBorders>
              <w:top w:val="nil"/>
              <w:left w:val="nil"/>
              <w:bottom w:val="nil"/>
              <w:right w:val="nil"/>
            </w:tcBorders>
          </w:tcPr>
          <w:p w14:paraId="48A00FD4" w14:textId="77777777" w:rsidR="00841993" w:rsidRPr="0005705F" w:rsidRDefault="00841993" w:rsidP="00841993">
            <w:pPr>
              <w:jc w:val="center"/>
            </w:pPr>
            <w:r w:rsidRPr="0005705F">
              <w:t>-0.000**</w:t>
            </w:r>
          </w:p>
        </w:tc>
      </w:tr>
      <w:tr w:rsidR="00841993" w14:paraId="549081BB" w14:textId="77777777" w:rsidTr="00841993">
        <w:trPr>
          <w:jc w:val="center"/>
        </w:trPr>
        <w:tc>
          <w:tcPr>
            <w:tcW w:w="2856" w:type="dxa"/>
            <w:tcBorders>
              <w:top w:val="nil"/>
              <w:left w:val="nil"/>
              <w:bottom w:val="nil"/>
              <w:right w:val="nil"/>
            </w:tcBorders>
          </w:tcPr>
          <w:p w14:paraId="7A008276" w14:textId="77777777" w:rsidR="00841993" w:rsidRPr="00B45C3B" w:rsidRDefault="00841993" w:rsidP="00841993">
            <w:pPr>
              <w:widowControl w:val="0"/>
              <w:autoSpaceDE w:val="0"/>
              <w:autoSpaceDN w:val="0"/>
              <w:adjustRightInd w:val="0"/>
            </w:pPr>
            <w:r w:rsidRPr="00B45C3B">
              <w:t>L∆</w:t>
            </w:r>
            <w:r>
              <w:t>imports</w:t>
            </w:r>
          </w:p>
        </w:tc>
        <w:tc>
          <w:tcPr>
            <w:tcW w:w="1742" w:type="dxa"/>
            <w:tcBorders>
              <w:top w:val="nil"/>
              <w:left w:val="nil"/>
              <w:bottom w:val="nil"/>
              <w:right w:val="nil"/>
            </w:tcBorders>
          </w:tcPr>
          <w:p w14:paraId="0099EE3E" w14:textId="77777777" w:rsidR="00841993" w:rsidRPr="0005705F" w:rsidRDefault="00841993" w:rsidP="00841993">
            <w:pPr>
              <w:jc w:val="center"/>
            </w:pPr>
            <w:r w:rsidRPr="0005705F">
              <w:t>-0.000*</w:t>
            </w:r>
          </w:p>
        </w:tc>
        <w:tc>
          <w:tcPr>
            <w:tcW w:w="1742" w:type="dxa"/>
            <w:tcBorders>
              <w:top w:val="nil"/>
              <w:left w:val="nil"/>
              <w:bottom w:val="nil"/>
              <w:right w:val="nil"/>
            </w:tcBorders>
          </w:tcPr>
          <w:p w14:paraId="2C55804A" w14:textId="77777777" w:rsidR="00841993" w:rsidRPr="0005705F" w:rsidRDefault="00841993" w:rsidP="00841993">
            <w:pPr>
              <w:jc w:val="center"/>
            </w:pPr>
            <w:r w:rsidRPr="0005705F">
              <w:t>-0.000</w:t>
            </w:r>
          </w:p>
        </w:tc>
        <w:tc>
          <w:tcPr>
            <w:tcW w:w="1742" w:type="dxa"/>
            <w:tcBorders>
              <w:top w:val="nil"/>
              <w:left w:val="nil"/>
              <w:bottom w:val="nil"/>
              <w:right w:val="nil"/>
            </w:tcBorders>
          </w:tcPr>
          <w:p w14:paraId="67276076" w14:textId="77777777" w:rsidR="00841993" w:rsidRPr="0005705F" w:rsidRDefault="00841993" w:rsidP="00841993">
            <w:pPr>
              <w:jc w:val="center"/>
            </w:pPr>
            <w:r w:rsidRPr="0005705F">
              <w:t>-0.000</w:t>
            </w:r>
          </w:p>
        </w:tc>
        <w:tc>
          <w:tcPr>
            <w:tcW w:w="1606" w:type="dxa"/>
            <w:tcBorders>
              <w:top w:val="nil"/>
              <w:left w:val="nil"/>
              <w:bottom w:val="nil"/>
              <w:right w:val="nil"/>
            </w:tcBorders>
          </w:tcPr>
          <w:p w14:paraId="6CAC8271" w14:textId="77777777" w:rsidR="00841993" w:rsidRPr="0005705F" w:rsidRDefault="00841993" w:rsidP="00841993">
            <w:pPr>
              <w:jc w:val="center"/>
            </w:pPr>
            <w:r w:rsidRPr="0005705F">
              <w:t>0.000</w:t>
            </w:r>
          </w:p>
        </w:tc>
        <w:tc>
          <w:tcPr>
            <w:tcW w:w="1688" w:type="dxa"/>
            <w:tcBorders>
              <w:top w:val="nil"/>
              <w:left w:val="nil"/>
              <w:bottom w:val="nil"/>
              <w:right w:val="nil"/>
            </w:tcBorders>
          </w:tcPr>
          <w:p w14:paraId="31151D0A" w14:textId="77777777" w:rsidR="00841993" w:rsidRPr="0005705F" w:rsidRDefault="00841993" w:rsidP="00841993">
            <w:pPr>
              <w:jc w:val="center"/>
            </w:pPr>
            <w:r w:rsidRPr="0005705F">
              <w:t>-0.000**</w:t>
            </w:r>
          </w:p>
        </w:tc>
        <w:tc>
          <w:tcPr>
            <w:tcW w:w="1781" w:type="dxa"/>
            <w:tcBorders>
              <w:top w:val="nil"/>
              <w:left w:val="nil"/>
              <w:bottom w:val="nil"/>
              <w:right w:val="nil"/>
            </w:tcBorders>
          </w:tcPr>
          <w:p w14:paraId="1207E95E" w14:textId="77777777" w:rsidR="00841993" w:rsidRPr="0005705F" w:rsidRDefault="00841993" w:rsidP="00841993">
            <w:pPr>
              <w:jc w:val="center"/>
            </w:pPr>
            <w:r w:rsidRPr="0005705F">
              <w:t>0.000</w:t>
            </w:r>
          </w:p>
        </w:tc>
      </w:tr>
      <w:tr w:rsidR="00841993" w14:paraId="14603D80" w14:textId="77777777" w:rsidTr="00841993">
        <w:trPr>
          <w:jc w:val="center"/>
        </w:trPr>
        <w:tc>
          <w:tcPr>
            <w:tcW w:w="2856" w:type="dxa"/>
            <w:tcBorders>
              <w:top w:val="nil"/>
              <w:left w:val="nil"/>
              <w:bottom w:val="nil"/>
              <w:right w:val="nil"/>
            </w:tcBorders>
          </w:tcPr>
          <w:p w14:paraId="46CDC0D2" w14:textId="77777777" w:rsidR="00841993" w:rsidRPr="00B45C3B" w:rsidRDefault="00101683" w:rsidP="00841993">
            <w:pPr>
              <w:widowControl w:val="0"/>
              <w:autoSpaceDE w:val="0"/>
              <w:autoSpaceDN w:val="0"/>
              <w:adjustRightInd w:val="0"/>
            </w:pPr>
            <m:oMathPara>
              <m:oMathParaPr>
                <m:jc m:val="left"/>
              </m:oMathParaPr>
              <m:oMath>
                <m:sSub>
                  <m:sSubPr>
                    <m:ctrlPr>
                      <w:rPr>
                        <w:rFonts w:ascii="Cambria Math" w:hAnsi="Cambria Math"/>
                        <w:i/>
                      </w:rPr>
                    </m:ctrlPr>
                  </m:sSubPr>
                  <m:e>
                    <m:r>
                      <m:rPr>
                        <m:sty m:val="p"/>
                      </m:rPr>
                      <w:rPr>
                        <w:rFonts w:ascii="Cambria Math"/>
                      </w:rPr>
                      <m:t>imports</m:t>
                    </m:r>
                  </m:e>
                  <m:sub>
                    <m:r>
                      <w:rPr>
                        <w:rFonts w:ascii="Cambria Math" w:hAnsi="Cambria Math"/>
                      </w:rPr>
                      <m:t>t-</m:t>
                    </m:r>
                    <m:r>
                      <w:rPr>
                        <w:rFonts w:ascii="Cambria Math"/>
                      </w:rPr>
                      <m:t>2</m:t>
                    </m:r>
                  </m:sub>
                </m:sSub>
              </m:oMath>
            </m:oMathPara>
          </w:p>
        </w:tc>
        <w:tc>
          <w:tcPr>
            <w:tcW w:w="1742" w:type="dxa"/>
            <w:tcBorders>
              <w:top w:val="nil"/>
              <w:left w:val="nil"/>
              <w:bottom w:val="nil"/>
              <w:right w:val="nil"/>
            </w:tcBorders>
          </w:tcPr>
          <w:p w14:paraId="5E6B029E" w14:textId="77777777" w:rsidR="00841993" w:rsidRPr="0005705F" w:rsidRDefault="00841993" w:rsidP="00841993">
            <w:pPr>
              <w:jc w:val="center"/>
            </w:pPr>
            <w:r w:rsidRPr="0005705F">
              <w:t>-0.000</w:t>
            </w:r>
          </w:p>
        </w:tc>
        <w:tc>
          <w:tcPr>
            <w:tcW w:w="1742" w:type="dxa"/>
            <w:tcBorders>
              <w:top w:val="nil"/>
              <w:left w:val="nil"/>
              <w:bottom w:val="nil"/>
              <w:right w:val="nil"/>
            </w:tcBorders>
          </w:tcPr>
          <w:p w14:paraId="4A50486E" w14:textId="77777777" w:rsidR="00841993" w:rsidRPr="0005705F" w:rsidRDefault="00841993" w:rsidP="00841993">
            <w:pPr>
              <w:jc w:val="center"/>
            </w:pPr>
            <w:r w:rsidRPr="0005705F">
              <w:t>-0.000</w:t>
            </w:r>
          </w:p>
        </w:tc>
        <w:tc>
          <w:tcPr>
            <w:tcW w:w="1742" w:type="dxa"/>
            <w:tcBorders>
              <w:top w:val="nil"/>
              <w:left w:val="nil"/>
              <w:bottom w:val="nil"/>
              <w:right w:val="nil"/>
            </w:tcBorders>
          </w:tcPr>
          <w:p w14:paraId="04F7866C" w14:textId="77777777" w:rsidR="00841993" w:rsidRPr="0005705F" w:rsidRDefault="00841993" w:rsidP="00841993">
            <w:pPr>
              <w:jc w:val="center"/>
            </w:pPr>
            <w:r w:rsidRPr="0005705F">
              <w:t>0.000</w:t>
            </w:r>
          </w:p>
        </w:tc>
        <w:tc>
          <w:tcPr>
            <w:tcW w:w="1606" w:type="dxa"/>
            <w:tcBorders>
              <w:top w:val="nil"/>
              <w:left w:val="nil"/>
              <w:bottom w:val="nil"/>
              <w:right w:val="nil"/>
            </w:tcBorders>
          </w:tcPr>
          <w:p w14:paraId="26EC8446" w14:textId="77777777" w:rsidR="00841993" w:rsidRPr="0005705F" w:rsidRDefault="00841993" w:rsidP="00841993">
            <w:pPr>
              <w:jc w:val="center"/>
            </w:pPr>
            <w:r w:rsidRPr="0005705F">
              <w:t>0.000</w:t>
            </w:r>
          </w:p>
        </w:tc>
        <w:tc>
          <w:tcPr>
            <w:tcW w:w="1688" w:type="dxa"/>
            <w:tcBorders>
              <w:top w:val="nil"/>
              <w:left w:val="nil"/>
              <w:bottom w:val="nil"/>
              <w:right w:val="nil"/>
            </w:tcBorders>
          </w:tcPr>
          <w:p w14:paraId="5A9B3D41" w14:textId="77777777" w:rsidR="00841993" w:rsidRPr="0005705F" w:rsidRDefault="00841993" w:rsidP="00841993">
            <w:pPr>
              <w:jc w:val="center"/>
            </w:pPr>
            <w:r w:rsidRPr="0005705F">
              <w:t>-0.000**</w:t>
            </w:r>
          </w:p>
        </w:tc>
        <w:tc>
          <w:tcPr>
            <w:tcW w:w="1781" w:type="dxa"/>
            <w:tcBorders>
              <w:top w:val="nil"/>
              <w:left w:val="nil"/>
              <w:bottom w:val="nil"/>
              <w:right w:val="nil"/>
            </w:tcBorders>
          </w:tcPr>
          <w:p w14:paraId="1089DFED" w14:textId="77777777" w:rsidR="00841993" w:rsidRPr="0005705F" w:rsidRDefault="00841993" w:rsidP="00841993">
            <w:pPr>
              <w:jc w:val="center"/>
            </w:pPr>
            <w:r w:rsidRPr="0005705F">
              <w:t>0.000**</w:t>
            </w:r>
          </w:p>
        </w:tc>
      </w:tr>
      <w:tr w:rsidR="00841993" w14:paraId="503DA4FD" w14:textId="77777777" w:rsidTr="00841993">
        <w:trPr>
          <w:jc w:val="center"/>
        </w:trPr>
        <w:tc>
          <w:tcPr>
            <w:tcW w:w="2856" w:type="dxa"/>
            <w:tcBorders>
              <w:top w:val="nil"/>
              <w:left w:val="nil"/>
              <w:bottom w:val="nil"/>
              <w:right w:val="nil"/>
            </w:tcBorders>
          </w:tcPr>
          <w:p w14:paraId="4B240608" w14:textId="77777777" w:rsidR="00841993" w:rsidRPr="00B45C3B" w:rsidRDefault="00841993" w:rsidP="00841993">
            <w:pPr>
              <w:widowControl w:val="0"/>
              <w:autoSpaceDE w:val="0"/>
              <w:autoSpaceDN w:val="0"/>
              <w:adjustRightInd w:val="0"/>
            </w:pPr>
            <w:r w:rsidRPr="00B45C3B">
              <w:t>L∆female LFP</w:t>
            </w:r>
          </w:p>
        </w:tc>
        <w:tc>
          <w:tcPr>
            <w:tcW w:w="1742" w:type="dxa"/>
            <w:tcBorders>
              <w:top w:val="nil"/>
              <w:left w:val="nil"/>
              <w:bottom w:val="nil"/>
              <w:right w:val="nil"/>
            </w:tcBorders>
          </w:tcPr>
          <w:p w14:paraId="40083307" w14:textId="77777777" w:rsidR="00841993" w:rsidRPr="0005705F" w:rsidRDefault="00841993" w:rsidP="00841993">
            <w:pPr>
              <w:jc w:val="center"/>
            </w:pPr>
            <w:r w:rsidRPr="0005705F">
              <w:t>0.030</w:t>
            </w:r>
          </w:p>
        </w:tc>
        <w:tc>
          <w:tcPr>
            <w:tcW w:w="1742" w:type="dxa"/>
            <w:tcBorders>
              <w:top w:val="nil"/>
              <w:left w:val="nil"/>
              <w:bottom w:val="nil"/>
              <w:right w:val="nil"/>
            </w:tcBorders>
          </w:tcPr>
          <w:p w14:paraId="159A7062" w14:textId="77777777" w:rsidR="00841993" w:rsidRPr="0005705F" w:rsidRDefault="00841993" w:rsidP="00841993">
            <w:pPr>
              <w:jc w:val="center"/>
            </w:pPr>
            <w:r w:rsidRPr="0005705F">
              <w:t>0.103</w:t>
            </w:r>
          </w:p>
        </w:tc>
        <w:tc>
          <w:tcPr>
            <w:tcW w:w="1742" w:type="dxa"/>
            <w:tcBorders>
              <w:top w:val="nil"/>
              <w:left w:val="nil"/>
              <w:bottom w:val="nil"/>
              <w:right w:val="nil"/>
            </w:tcBorders>
          </w:tcPr>
          <w:p w14:paraId="60D61519" w14:textId="77777777" w:rsidR="00841993" w:rsidRPr="0005705F" w:rsidRDefault="00841993" w:rsidP="00841993">
            <w:pPr>
              <w:jc w:val="center"/>
            </w:pPr>
            <w:r w:rsidRPr="0005705F">
              <w:t>-0.204</w:t>
            </w:r>
          </w:p>
        </w:tc>
        <w:tc>
          <w:tcPr>
            <w:tcW w:w="1606" w:type="dxa"/>
            <w:tcBorders>
              <w:top w:val="nil"/>
              <w:left w:val="nil"/>
              <w:bottom w:val="nil"/>
              <w:right w:val="nil"/>
            </w:tcBorders>
          </w:tcPr>
          <w:p w14:paraId="0FF45473" w14:textId="77777777" w:rsidR="00841993" w:rsidRPr="0005705F" w:rsidRDefault="00841993" w:rsidP="00841993">
            <w:pPr>
              <w:jc w:val="center"/>
            </w:pPr>
            <w:r w:rsidRPr="0005705F">
              <w:t>0.357***</w:t>
            </w:r>
          </w:p>
        </w:tc>
        <w:tc>
          <w:tcPr>
            <w:tcW w:w="1688" w:type="dxa"/>
            <w:tcBorders>
              <w:top w:val="nil"/>
              <w:left w:val="nil"/>
              <w:bottom w:val="nil"/>
              <w:right w:val="nil"/>
            </w:tcBorders>
          </w:tcPr>
          <w:p w14:paraId="2B5876A0" w14:textId="77777777" w:rsidR="00841993" w:rsidRPr="0005705F" w:rsidRDefault="00841993" w:rsidP="00841993">
            <w:pPr>
              <w:jc w:val="center"/>
            </w:pPr>
            <w:r w:rsidRPr="0005705F">
              <w:t>0.063</w:t>
            </w:r>
          </w:p>
        </w:tc>
        <w:tc>
          <w:tcPr>
            <w:tcW w:w="1781" w:type="dxa"/>
            <w:tcBorders>
              <w:top w:val="nil"/>
              <w:left w:val="nil"/>
              <w:bottom w:val="nil"/>
              <w:right w:val="nil"/>
            </w:tcBorders>
          </w:tcPr>
          <w:p w14:paraId="7BCBB076" w14:textId="77777777" w:rsidR="00841993" w:rsidRPr="0005705F" w:rsidRDefault="00841993" w:rsidP="00841993">
            <w:pPr>
              <w:jc w:val="center"/>
            </w:pPr>
            <w:r w:rsidRPr="0005705F">
              <w:t>0.113</w:t>
            </w:r>
          </w:p>
        </w:tc>
      </w:tr>
      <w:tr w:rsidR="00841993" w14:paraId="7915025C" w14:textId="77777777" w:rsidTr="00841993">
        <w:trPr>
          <w:jc w:val="center"/>
        </w:trPr>
        <w:tc>
          <w:tcPr>
            <w:tcW w:w="2856" w:type="dxa"/>
            <w:tcBorders>
              <w:top w:val="nil"/>
              <w:left w:val="nil"/>
              <w:bottom w:val="nil"/>
              <w:right w:val="nil"/>
            </w:tcBorders>
          </w:tcPr>
          <w:p w14:paraId="67EF5D24" w14:textId="77777777" w:rsidR="00841993" w:rsidRPr="00B45C3B" w:rsidRDefault="00101683" w:rsidP="00841993">
            <w:pPr>
              <w:widowControl w:val="0"/>
              <w:autoSpaceDE w:val="0"/>
              <w:autoSpaceDN w:val="0"/>
              <w:adjustRightInd w:val="0"/>
            </w:pPr>
            <m:oMathPara>
              <m:oMathParaPr>
                <m:jc m:val="left"/>
              </m:oMathParaPr>
              <m:oMath>
                <m:sSub>
                  <m:sSubPr>
                    <m:ctrlPr>
                      <w:rPr>
                        <w:rFonts w:ascii="Cambria Math" w:hAnsi="Cambria Math"/>
                        <w:i/>
                      </w:rPr>
                    </m:ctrlPr>
                  </m:sSubPr>
                  <m:e>
                    <m:r>
                      <m:rPr>
                        <m:sty m:val="p"/>
                      </m:rPr>
                      <w:rPr>
                        <w:rFonts w:ascii="Cambria Math"/>
                      </w:rPr>
                      <m:t>female LFP</m:t>
                    </m:r>
                  </m:e>
                  <m:sub>
                    <m:r>
                      <w:rPr>
                        <w:rFonts w:ascii="Cambria Math" w:hAnsi="Cambria Math"/>
                      </w:rPr>
                      <m:t>t-</m:t>
                    </m:r>
                    <m:r>
                      <w:rPr>
                        <w:rFonts w:ascii="Cambria Math"/>
                      </w:rPr>
                      <m:t>2</m:t>
                    </m:r>
                  </m:sub>
                </m:sSub>
              </m:oMath>
            </m:oMathPara>
          </w:p>
        </w:tc>
        <w:tc>
          <w:tcPr>
            <w:tcW w:w="1742" w:type="dxa"/>
            <w:tcBorders>
              <w:top w:val="nil"/>
              <w:left w:val="nil"/>
              <w:bottom w:val="nil"/>
              <w:right w:val="nil"/>
            </w:tcBorders>
          </w:tcPr>
          <w:p w14:paraId="64D5291C" w14:textId="77777777" w:rsidR="00841993" w:rsidRPr="0005705F" w:rsidRDefault="00841993" w:rsidP="00841993">
            <w:pPr>
              <w:jc w:val="center"/>
            </w:pPr>
            <w:r w:rsidRPr="0005705F">
              <w:t>0.099</w:t>
            </w:r>
          </w:p>
        </w:tc>
        <w:tc>
          <w:tcPr>
            <w:tcW w:w="1742" w:type="dxa"/>
            <w:tcBorders>
              <w:top w:val="nil"/>
              <w:left w:val="nil"/>
              <w:bottom w:val="nil"/>
              <w:right w:val="nil"/>
            </w:tcBorders>
          </w:tcPr>
          <w:p w14:paraId="6096FAC0" w14:textId="77777777" w:rsidR="00841993" w:rsidRPr="0005705F" w:rsidRDefault="00841993" w:rsidP="00841993">
            <w:pPr>
              <w:jc w:val="center"/>
            </w:pPr>
            <w:r w:rsidRPr="0005705F">
              <w:t>0.298***</w:t>
            </w:r>
          </w:p>
        </w:tc>
        <w:tc>
          <w:tcPr>
            <w:tcW w:w="1742" w:type="dxa"/>
            <w:tcBorders>
              <w:top w:val="nil"/>
              <w:left w:val="nil"/>
              <w:bottom w:val="nil"/>
              <w:right w:val="nil"/>
            </w:tcBorders>
          </w:tcPr>
          <w:p w14:paraId="1B1E80F4" w14:textId="77777777" w:rsidR="00841993" w:rsidRPr="0005705F" w:rsidRDefault="00841993" w:rsidP="00841993">
            <w:pPr>
              <w:jc w:val="center"/>
            </w:pPr>
            <w:r w:rsidRPr="0005705F">
              <w:t>-0.140</w:t>
            </w:r>
          </w:p>
        </w:tc>
        <w:tc>
          <w:tcPr>
            <w:tcW w:w="1606" w:type="dxa"/>
            <w:tcBorders>
              <w:top w:val="nil"/>
              <w:left w:val="nil"/>
              <w:bottom w:val="nil"/>
              <w:right w:val="nil"/>
            </w:tcBorders>
          </w:tcPr>
          <w:p w14:paraId="7C45C503" w14:textId="77777777" w:rsidR="00841993" w:rsidRPr="0005705F" w:rsidRDefault="00841993" w:rsidP="00841993">
            <w:pPr>
              <w:jc w:val="center"/>
            </w:pPr>
            <w:r w:rsidRPr="0005705F">
              <w:t>0.294***</w:t>
            </w:r>
          </w:p>
        </w:tc>
        <w:tc>
          <w:tcPr>
            <w:tcW w:w="1688" w:type="dxa"/>
            <w:tcBorders>
              <w:top w:val="nil"/>
              <w:left w:val="nil"/>
              <w:bottom w:val="nil"/>
              <w:right w:val="nil"/>
            </w:tcBorders>
          </w:tcPr>
          <w:p w14:paraId="1BA40305" w14:textId="77777777" w:rsidR="00841993" w:rsidRPr="0005705F" w:rsidRDefault="00841993" w:rsidP="00841993">
            <w:pPr>
              <w:jc w:val="center"/>
            </w:pPr>
            <w:r w:rsidRPr="0005705F">
              <w:t>-0.028</w:t>
            </w:r>
          </w:p>
        </w:tc>
        <w:tc>
          <w:tcPr>
            <w:tcW w:w="1781" w:type="dxa"/>
            <w:tcBorders>
              <w:top w:val="nil"/>
              <w:left w:val="nil"/>
              <w:bottom w:val="nil"/>
              <w:right w:val="nil"/>
            </w:tcBorders>
          </w:tcPr>
          <w:p w14:paraId="7E14A543" w14:textId="77777777" w:rsidR="00841993" w:rsidRPr="0005705F" w:rsidRDefault="00841993" w:rsidP="00841993">
            <w:pPr>
              <w:jc w:val="center"/>
            </w:pPr>
            <w:r w:rsidRPr="0005705F">
              <w:t>0.103</w:t>
            </w:r>
          </w:p>
        </w:tc>
      </w:tr>
      <w:tr w:rsidR="00841993" w14:paraId="49DE5126" w14:textId="77777777" w:rsidTr="00841993">
        <w:trPr>
          <w:jc w:val="center"/>
        </w:trPr>
        <w:tc>
          <w:tcPr>
            <w:tcW w:w="2856" w:type="dxa"/>
            <w:tcBorders>
              <w:top w:val="nil"/>
              <w:left w:val="nil"/>
              <w:bottom w:val="nil"/>
              <w:right w:val="nil"/>
            </w:tcBorders>
          </w:tcPr>
          <w:p w14:paraId="3608698D" w14:textId="77777777" w:rsidR="00841993" w:rsidRPr="00B45C3B" w:rsidRDefault="00841993" w:rsidP="00841993">
            <w:pPr>
              <w:widowControl w:val="0"/>
              <w:autoSpaceDE w:val="0"/>
              <w:autoSpaceDN w:val="0"/>
              <w:adjustRightInd w:val="0"/>
            </w:pPr>
            <w:r w:rsidRPr="00B45C3B">
              <w:t>L∆age dependency</w:t>
            </w:r>
          </w:p>
        </w:tc>
        <w:tc>
          <w:tcPr>
            <w:tcW w:w="1742" w:type="dxa"/>
            <w:tcBorders>
              <w:top w:val="nil"/>
              <w:left w:val="nil"/>
              <w:bottom w:val="nil"/>
              <w:right w:val="nil"/>
            </w:tcBorders>
          </w:tcPr>
          <w:p w14:paraId="7BC60FE0" w14:textId="77777777" w:rsidR="00841993" w:rsidRPr="0005705F" w:rsidRDefault="00841993" w:rsidP="00841993">
            <w:pPr>
              <w:jc w:val="center"/>
            </w:pPr>
            <w:r w:rsidRPr="0005705F">
              <w:t>0.824**</w:t>
            </w:r>
          </w:p>
        </w:tc>
        <w:tc>
          <w:tcPr>
            <w:tcW w:w="1742" w:type="dxa"/>
            <w:tcBorders>
              <w:top w:val="nil"/>
              <w:left w:val="nil"/>
              <w:bottom w:val="nil"/>
              <w:right w:val="nil"/>
            </w:tcBorders>
          </w:tcPr>
          <w:p w14:paraId="785BF36A" w14:textId="77777777" w:rsidR="00841993" w:rsidRPr="0005705F" w:rsidRDefault="00841993" w:rsidP="00841993">
            <w:pPr>
              <w:jc w:val="center"/>
            </w:pPr>
            <w:r w:rsidRPr="0005705F">
              <w:t>-0.347*</w:t>
            </w:r>
          </w:p>
        </w:tc>
        <w:tc>
          <w:tcPr>
            <w:tcW w:w="1742" w:type="dxa"/>
            <w:tcBorders>
              <w:top w:val="nil"/>
              <w:left w:val="nil"/>
              <w:bottom w:val="nil"/>
              <w:right w:val="nil"/>
            </w:tcBorders>
          </w:tcPr>
          <w:p w14:paraId="7A963133" w14:textId="77777777" w:rsidR="00841993" w:rsidRPr="0005705F" w:rsidRDefault="00841993" w:rsidP="00841993">
            <w:pPr>
              <w:jc w:val="center"/>
            </w:pPr>
            <w:r w:rsidRPr="0005705F">
              <w:t>0.788***</w:t>
            </w:r>
          </w:p>
        </w:tc>
        <w:tc>
          <w:tcPr>
            <w:tcW w:w="1606" w:type="dxa"/>
            <w:tcBorders>
              <w:top w:val="nil"/>
              <w:left w:val="nil"/>
              <w:bottom w:val="nil"/>
              <w:right w:val="nil"/>
            </w:tcBorders>
          </w:tcPr>
          <w:p w14:paraId="6EEA6FEE" w14:textId="77777777" w:rsidR="00841993" w:rsidRPr="0005705F" w:rsidRDefault="00841993" w:rsidP="00841993">
            <w:pPr>
              <w:jc w:val="center"/>
            </w:pPr>
            <w:r w:rsidRPr="0005705F">
              <w:t>-0.296</w:t>
            </w:r>
          </w:p>
        </w:tc>
        <w:tc>
          <w:tcPr>
            <w:tcW w:w="1688" w:type="dxa"/>
            <w:tcBorders>
              <w:top w:val="nil"/>
              <w:left w:val="nil"/>
              <w:bottom w:val="nil"/>
              <w:right w:val="nil"/>
            </w:tcBorders>
          </w:tcPr>
          <w:p w14:paraId="32D4E7C9" w14:textId="77777777" w:rsidR="00841993" w:rsidRPr="0005705F" w:rsidRDefault="00841993" w:rsidP="00841993">
            <w:pPr>
              <w:jc w:val="center"/>
            </w:pPr>
            <w:r w:rsidRPr="0005705F">
              <w:t>0.342</w:t>
            </w:r>
          </w:p>
        </w:tc>
        <w:tc>
          <w:tcPr>
            <w:tcW w:w="1781" w:type="dxa"/>
            <w:tcBorders>
              <w:top w:val="nil"/>
              <w:left w:val="nil"/>
              <w:bottom w:val="nil"/>
              <w:right w:val="nil"/>
            </w:tcBorders>
          </w:tcPr>
          <w:p w14:paraId="2CCCDA45" w14:textId="77777777" w:rsidR="00841993" w:rsidRPr="0005705F" w:rsidRDefault="00841993" w:rsidP="00841993">
            <w:pPr>
              <w:jc w:val="center"/>
            </w:pPr>
            <w:r w:rsidRPr="0005705F">
              <w:t>0.317</w:t>
            </w:r>
          </w:p>
        </w:tc>
      </w:tr>
      <w:tr w:rsidR="00841993" w14:paraId="7301FA3E" w14:textId="77777777" w:rsidTr="00841993">
        <w:trPr>
          <w:jc w:val="center"/>
        </w:trPr>
        <w:tc>
          <w:tcPr>
            <w:tcW w:w="2856" w:type="dxa"/>
            <w:tcBorders>
              <w:top w:val="nil"/>
              <w:left w:val="nil"/>
              <w:bottom w:val="nil"/>
              <w:right w:val="nil"/>
            </w:tcBorders>
          </w:tcPr>
          <w:p w14:paraId="70DBEE9A" w14:textId="77777777" w:rsidR="00841993" w:rsidRPr="00B45C3B" w:rsidRDefault="00101683" w:rsidP="00841993">
            <w:pPr>
              <w:widowControl w:val="0"/>
              <w:autoSpaceDE w:val="0"/>
              <w:autoSpaceDN w:val="0"/>
              <w:adjustRightInd w:val="0"/>
            </w:pPr>
            <m:oMathPara>
              <m:oMathParaPr>
                <m:jc m:val="left"/>
              </m:oMathParaPr>
              <m:oMath>
                <m:sSub>
                  <m:sSubPr>
                    <m:ctrlPr>
                      <w:rPr>
                        <w:rFonts w:ascii="Cambria Math" w:hAnsi="Cambria Math"/>
                        <w:i/>
                      </w:rPr>
                    </m:ctrlPr>
                  </m:sSubPr>
                  <m:e>
                    <m:r>
                      <m:rPr>
                        <m:sty m:val="p"/>
                      </m:rPr>
                      <w:rPr>
                        <w:rFonts w:ascii="Cambria Math"/>
                      </w:rPr>
                      <m:t>age dependency</m:t>
                    </m:r>
                  </m:e>
                  <m:sub>
                    <m:r>
                      <w:rPr>
                        <w:rFonts w:ascii="Cambria Math" w:hAnsi="Cambria Math"/>
                      </w:rPr>
                      <m:t>t-</m:t>
                    </m:r>
                    <m:r>
                      <w:rPr>
                        <w:rFonts w:ascii="Cambria Math"/>
                      </w:rPr>
                      <m:t>2</m:t>
                    </m:r>
                  </m:sub>
                </m:sSub>
              </m:oMath>
            </m:oMathPara>
          </w:p>
        </w:tc>
        <w:tc>
          <w:tcPr>
            <w:tcW w:w="1742" w:type="dxa"/>
            <w:tcBorders>
              <w:top w:val="nil"/>
              <w:left w:val="nil"/>
              <w:bottom w:val="nil"/>
              <w:right w:val="nil"/>
            </w:tcBorders>
          </w:tcPr>
          <w:p w14:paraId="405D74F1" w14:textId="77777777" w:rsidR="00841993" w:rsidRPr="0005705F" w:rsidRDefault="00841993" w:rsidP="00841993">
            <w:pPr>
              <w:jc w:val="center"/>
            </w:pPr>
            <w:r w:rsidRPr="0005705F">
              <w:t>-0.068</w:t>
            </w:r>
          </w:p>
        </w:tc>
        <w:tc>
          <w:tcPr>
            <w:tcW w:w="1742" w:type="dxa"/>
            <w:tcBorders>
              <w:top w:val="nil"/>
              <w:left w:val="nil"/>
              <w:bottom w:val="nil"/>
              <w:right w:val="nil"/>
            </w:tcBorders>
          </w:tcPr>
          <w:p w14:paraId="5C5C2A13" w14:textId="77777777" w:rsidR="00841993" w:rsidRPr="0005705F" w:rsidRDefault="00841993" w:rsidP="00841993">
            <w:pPr>
              <w:jc w:val="center"/>
            </w:pPr>
            <w:r w:rsidRPr="0005705F">
              <w:t>0.021</w:t>
            </w:r>
          </w:p>
        </w:tc>
        <w:tc>
          <w:tcPr>
            <w:tcW w:w="1742" w:type="dxa"/>
            <w:tcBorders>
              <w:top w:val="nil"/>
              <w:left w:val="nil"/>
              <w:bottom w:val="nil"/>
              <w:right w:val="nil"/>
            </w:tcBorders>
          </w:tcPr>
          <w:p w14:paraId="56C703A7" w14:textId="77777777" w:rsidR="00841993" w:rsidRPr="0005705F" w:rsidRDefault="00841993" w:rsidP="00841993">
            <w:pPr>
              <w:jc w:val="center"/>
            </w:pPr>
            <w:r w:rsidRPr="0005705F">
              <w:t>-0.054*</w:t>
            </w:r>
          </w:p>
        </w:tc>
        <w:tc>
          <w:tcPr>
            <w:tcW w:w="1606" w:type="dxa"/>
            <w:tcBorders>
              <w:top w:val="nil"/>
              <w:left w:val="nil"/>
              <w:bottom w:val="nil"/>
              <w:right w:val="nil"/>
            </w:tcBorders>
          </w:tcPr>
          <w:p w14:paraId="2BE3F4F6" w14:textId="77777777" w:rsidR="00841993" w:rsidRPr="0005705F" w:rsidRDefault="00841993" w:rsidP="00841993">
            <w:pPr>
              <w:jc w:val="center"/>
            </w:pPr>
            <w:r w:rsidRPr="0005705F">
              <w:t>-0.049</w:t>
            </w:r>
          </w:p>
        </w:tc>
        <w:tc>
          <w:tcPr>
            <w:tcW w:w="1688" w:type="dxa"/>
            <w:tcBorders>
              <w:top w:val="nil"/>
              <w:left w:val="nil"/>
              <w:bottom w:val="nil"/>
              <w:right w:val="nil"/>
            </w:tcBorders>
          </w:tcPr>
          <w:p w14:paraId="63394C4B" w14:textId="77777777" w:rsidR="00841993" w:rsidRPr="0005705F" w:rsidRDefault="00841993" w:rsidP="00841993">
            <w:pPr>
              <w:jc w:val="center"/>
            </w:pPr>
            <w:r w:rsidRPr="0005705F">
              <w:t>0.207***</w:t>
            </w:r>
          </w:p>
        </w:tc>
        <w:tc>
          <w:tcPr>
            <w:tcW w:w="1781" w:type="dxa"/>
            <w:tcBorders>
              <w:top w:val="nil"/>
              <w:left w:val="nil"/>
              <w:bottom w:val="nil"/>
              <w:right w:val="nil"/>
            </w:tcBorders>
          </w:tcPr>
          <w:p w14:paraId="2830CBAA" w14:textId="77777777" w:rsidR="00841993" w:rsidRPr="0005705F" w:rsidRDefault="00841993" w:rsidP="00841993">
            <w:pPr>
              <w:jc w:val="center"/>
            </w:pPr>
            <w:r w:rsidRPr="0005705F">
              <w:t>0.038</w:t>
            </w:r>
          </w:p>
        </w:tc>
      </w:tr>
      <w:tr w:rsidR="00841993" w14:paraId="0D627275" w14:textId="77777777" w:rsidTr="00841993">
        <w:trPr>
          <w:jc w:val="center"/>
        </w:trPr>
        <w:tc>
          <w:tcPr>
            <w:tcW w:w="2856" w:type="dxa"/>
            <w:tcBorders>
              <w:top w:val="nil"/>
              <w:left w:val="nil"/>
              <w:bottom w:val="nil"/>
              <w:right w:val="nil"/>
            </w:tcBorders>
          </w:tcPr>
          <w:p w14:paraId="2DEA1349" w14:textId="77777777" w:rsidR="00841993" w:rsidRPr="00B45C3B" w:rsidRDefault="00841993" w:rsidP="00841993">
            <w:pPr>
              <w:widowControl w:val="0"/>
              <w:autoSpaceDE w:val="0"/>
              <w:autoSpaceDN w:val="0"/>
              <w:adjustRightInd w:val="0"/>
            </w:pPr>
            <w:r w:rsidRPr="00B45C3B">
              <w:t>L∆corporatism</w:t>
            </w:r>
          </w:p>
        </w:tc>
        <w:tc>
          <w:tcPr>
            <w:tcW w:w="1742" w:type="dxa"/>
            <w:tcBorders>
              <w:top w:val="nil"/>
              <w:left w:val="nil"/>
              <w:bottom w:val="nil"/>
              <w:right w:val="nil"/>
            </w:tcBorders>
          </w:tcPr>
          <w:p w14:paraId="07F2AD9E" w14:textId="77777777" w:rsidR="00841993" w:rsidRPr="0005705F" w:rsidRDefault="00841993" w:rsidP="00841993">
            <w:pPr>
              <w:jc w:val="center"/>
            </w:pPr>
            <w:r w:rsidRPr="0005705F">
              <w:t>-0.097</w:t>
            </w:r>
          </w:p>
        </w:tc>
        <w:tc>
          <w:tcPr>
            <w:tcW w:w="1742" w:type="dxa"/>
            <w:tcBorders>
              <w:top w:val="nil"/>
              <w:left w:val="nil"/>
              <w:bottom w:val="nil"/>
              <w:right w:val="nil"/>
            </w:tcBorders>
          </w:tcPr>
          <w:p w14:paraId="03FB2E90" w14:textId="77777777" w:rsidR="00841993" w:rsidRPr="0005705F" w:rsidRDefault="00841993" w:rsidP="00841993">
            <w:pPr>
              <w:jc w:val="center"/>
            </w:pPr>
            <w:r w:rsidRPr="0005705F">
              <w:t>-0.009</w:t>
            </w:r>
          </w:p>
        </w:tc>
        <w:tc>
          <w:tcPr>
            <w:tcW w:w="1742" w:type="dxa"/>
            <w:tcBorders>
              <w:top w:val="nil"/>
              <w:left w:val="nil"/>
              <w:bottom w:val="nil"/>
              <w:right w:val="nil"/>
            </w:tcBorders>
          </w:tcPr>
          <w:p w14:paraId="56360B93" w14:textId="77777777" w:rsidR="00841993" w:rsidRPr="0005705F" w:rsidRDefault="00841993" w:rsidP="00841993">
            <w:pPr>
              <w:jc w:val="center"/>
            </w:pPr>
            <w:r w:rsidRPr="0005705F">
              <w:t>0.020</w:t>
            </w:r>
          </w:p>
        </w:tc>
        <w:tc>
          <w:tcPr>
            <w:tcW w:w="1606" w:type="dxa"/>
            <w:tcBorders>
              <w:top w:val="nil"/>
              <w:left w:val="nil"/>
              <w:bottom w:val="nil"/>
              <w:right w:val="nil"/>
            </w:tcBorders>
          </w:tcPr>
          <w:p w14:paraId="7266E842" w14:textId="77777777" w:rsidR="00841993" w:rsidRPr="0005705F" w:rsidRDefault="00841993" w:rsidP="00841993">
            <w:pPr>
              <w:jc w:val="center"/>
            </w:pPr>
          </w:p>
        </w:tc>
        <w:tc>
          <w:tcPr>
            <w:tcW w:w="1688" w:type="dxa"/>
            <w:tcBorders>
              <w:top w:val="nil"/>
              <w:left w:val="nil"/>
              <w:bottom w:val="nil"/>
              <w:right w:val="nil"/>
            </w:tcBorders>
          </w:tcPr>
          <w:p w14:paraId="70E90E5B" w14:textId="77777777" w:rsidR="00841993" w:rsidRPr="0005705F" w:rsidRDefault="00841993" w:rsidP="00841993">
            <w:pPr>
              <w:jc w:val="center"/>
            </w:pPr>
            <w:r w:rsidRPr="0005705F">
              <w:t>-0.228**</w:t>
            </w:r>
          </w:p>
        </w:tc>
        <w:tc>
          <w:tcPr>
            <w:tcW w:w="1781" w:type="dxa"/>
            <w:tcBorders>
              <w:top w:val="nil"/>
              <w:left w:val="nil"/>
              <w:bottom w:val="nil"/>
              <w:right w:val="nil"/>
            </w:tcBorders>
          </w:tcPr>
          <w:p w14:paraId="37D8A5EE" w14:textId="77777777" w:rsidR="00841993" w:rsidRPr="0005705F" w:rsidRDefault="00841993" w:rsidP="00841993">
            <w:pPr>
              <w:jc w:val="center"/>
            </w:pPr>
            <w:r w:rsidRPr="0005705F">
              <w:t>0.062</w:t>
            </w:r>
          </w:p>
        </w:tc>
      </w:tr>
      <w:tr w:rsidR="00841993" w14:paraId="68EA6588" w14:textId="77777777" w:rsidTr="00841993">
        <w:trPr>
          <w:jc w:val="center"/>
        </w:trPr>
        <w:tc>
          <w:tcPr>
            <w:tcW w:w="2856" w:type="dxa"/>
            <w:tcBorders>
              <w:top w:val="nil"/>
              <w:left w:val="nil"/>
              <w:bottom w:val="nil"/>
              <w:right w:val="nil"/>
            </w:tcBorders>
          </w:tcPr>
          <w:p w14:paraId="14CDA190" w14:textId="77777777" w:rsidR="00841993" w:rsidRPr="00B45C3B" w:rsidRDefault="00101683" w:rsidP="00841993">
            <w:pPr>
              <w:widowControl w:val="0"/>
              <w:autoSpaceDE w:val="0"/>
              <w:autoSpaceDN w:val="0"/>
              <w:adjustRightInd w:val="0"/>
            </w:pPr>
            <m:oMathPara>
              <m:oMathParaPr>
                <m:jc m:val="left"/>
              </m:oMathParaPr>
              <m:oMath>
                <m:sSub>
                  <m:sSubPr>
                    <m:ctrlPr>
                      <w:rPr>
                        <w:rFonts w:ascii="Cambria Math" w:hAnsi="Cambria Math"/>
                        <w:i/>
                      </w:rPr>
                    </m:ctrlPr>
                  </m:sSubPr>
                  <m:e>
                    <m:r>
                      <m:rPr>
                        <m:sty m:val="p"/>
                      </m:rPr>
                      <w:rPr>
                        <w:rFonts w:ascii="Cambria Math"/>
                      </w:rPr>
                      <m:t>corporatism</m:t>
                    </m:r>
                  </m:e>
                  <m:sub>
                    <m:r>
                      <w:rPr>
                        <w:rFonts w:ascii="Cambria Math" w:hAnsi="Cambria Math"/>
                      </w:rPr>
                      <m:t>t-</m:t>
                    </m:r>
                    <m:r>
                      <w:rPr>
                        <w:rFonts w:ascii="Cambria Math"/>
                      </w:rPr>
                      <m:t>2</m:t>
                    </m:r>
                  </m:sub>
                </m:sSub>
              </m:oMath>
            </m:oMathPara>
          </w:p>
        </w:tc>
        <w:tc>
          <w:tcPr>
            <w:tcW w:w="1742" w:type="dxa"/>
            <w:tcBorders>
              <w:top w:val="nil"/>
              <w:left w:val="nil"/>
              <w:bottom w:val="nil"/>
              <w:right w:val="nil"/>
            </w:tcBorders>
          </w:tcPr>
          <w:p w14:paraId="2FBBC77D" w14:textId="77777777" w:rsidR="00841993" w:rsidRPr="0005705F" w:rsidRDefault="00841993" w:rsidP="00841993">
            <w:pPr>
              <w:jc w:val="center"/>
            </w:pPr>
            <w:r w:rsidRPr="0005705F">
              <w:t>-0.088</w:t>
            </w:r>
          </w:p>
        </w:tc>
        <w:tc>
          <w:tcPr>
            <w:tcW w:w="1742" w:type="dxa"/>
            <w:tcBorders>
              <w:top w:val="nil"/>
              <w:left w:val="nil"/>
              <w:bottom w:val="nil"/>
              <w:right w:val="nil"/>
            </w:tcBorders>
          </w:tcPr>
          <w:p w14:paraId="51E0C666" w14:textId="77777777" w:rsidR="00841993" w:rsidRPr="0005705F" w:rsidRDefault="00841993" w:rsidP="00841993">
            <w:pPr>
              <w:jc w:val="center"/>
            </w:pPr>
            <w:r w:rsidRPr="0005705F">
              <w:t>-0.298**</w:t>
            </w:r>
          </w:p>
        </w:tc>
        <w:tc>
          <w:tcPr>
            <w:tcW w:w="1742" w:type="dxa"/>
            <w:tcBorders>
              <w:top w:val="nil"/>
              <w:left w:val="nil"/>
              <w:bottom w:val="nil"/>
              <w:right w:val="nil"/>
            </w:tcBorders>
          </w:tcPr>
          <w:p w14:paraId="3728158A" w14:textId="77777777" w:rsidR="00841993" w:rsidRPr="0005705F" w:rsidRDefault="00841993" w:rsidP="00841993">
            <w:pPr>
              <w:jc w:val="center"/>
            </w:pPr>
            <w:r w:rsidRPr="0005705F">
              <w:t>0.170</w:t>
            </w:r>
          </w:p>
        </w:tc>
        <w:tc>
          <w:tcPr>
            <w:tcW w:w="1606" w:type="dxa"/>
            <w:tcBorders>
              <w:top w:val="nil"/>
              <w:left w:val="nil"/>
              <w:bottom w:val="nil"/>
              <w:right w:val="nil"/>
            </w:tcBorders>
          </w:tcPr>
          <w:p w14:paraId="17CF2AD9" w14:textId="77777777" w:rsidR="00841993" w:rsidRPr="0005705F" w:rsidRDefault="00841993" w:rsidP="00841993">
            <w:pPr>
              <w:jc w:val="center"/>
            </w:pPr>
          </w:p>
        </w:tc>
        <w:tc>
          <w:tcPr>
            <w:tcW w:w="1688" w:type="dxa"/>
            <w:tcBorders>
              <w:top w:val="nil"/>
              <w:left w:val="nil"/>
              <w:bottom w:val="nil"/>
              <w:right w:val="nil"/>
            </w:tcBorders>
          </w:tcPr>
          <w:p w14:paraId="01AB86E6" w14:textId="77777777" w:rsidR="00841993" w:rsidRPr="0005705F" w:rsidRDefault="00841993" w:rsidP="00841993">
            <w:pPr>
              <w:jc w:val="center"/>
            </w:pPr>
            <w:r w:rsidRPr="0005705F">
              <w:t>-0.341***</w:t>
            </w:r>
          </w:p>
        </w:tc>
        <w:tc>
          <w:tcPr>
            <w:tcW w:w="1781" w:type="dxa"/>
            <w:tcBorders>
              <w:top w:val="nil"/>
              <w:left w:val="nil"/>
              <w:bottom w:val="nil"/>
              <w:right w:val="nil"/>
            </w:tcBorders>
          </w:tcPr>
          <w:p w14:paraId="2C62E4A5" w14:textId="77777777" w:rsidR="00841993" w:rsidRPr="0005705F" w:rsidRDefault="00841993" w:rsidP="00841993">
            <w:pPr>
              <w:jc w:val="center"/>
            </w:pPr>
            <w:r w:rsidRPr="0005705F">
              <w:t>-0.022</w:t>
            </w:r>
          </w:p>
        </w:tc>
      </w:tr>
      <w:tr w:rsidR="00841993" w14:paraId="195D60D2" w14:textId="77777777" w:rsidTr="00841993">
        <w:trPr>
          <w:jc w:val="center"/>
        </w:trPr>
        <w:tc>
          <w:tcPr>
            <w:tcW w:w="2856" w:type="dxa"/>
            <w:tcBorders>
              <w:top w:val="nil"/>
              <w:left w:val="nil"/>
              <w:bottom w:val="nil"/>
              <w:right w:val="nil"/>
            </w:tcBorders>
          </w:tcPr>
          <w:p w14:paraId="03461037" w14:textId="77777777" w:rsidR="00841993" w:rsidRPr="00B45C3B" w:rsidRDefault="00841993" w:rsidP="00841993">
            <w:pPr>
              <w:widowControl w:val="0"/>
              <w:autoSpaceDE w:val="0"/>
              <w:autoSpaceDN w:val="0"/>
              <w:adjustRightInd w:val="0"/>
            </w:pPr>
            <w:r w:rsidRPr="00B45C3B">
              <w:t>L∆Union density</w:t>
            </w:r>
          </w:p>
        </w:tc>
        <w:tc>
          <w:tcPr>
            <w:tcW w:w="1742" w:type="dxa"/>
            <w:tcBorders>
              <w:top w:val="nil"/>
              <w:left w:val="nil"/>
              <w:bottom w:val="nil"/>
              <w:right w:val="nil"/>
            </w:tcBorders>
          </w:tcPr>
          <w:p w14:paraId="31E8C07C" w14:textId="77777777" w:rsidR="00841993" w:rsidRPr="0005705F" w:rsidRDefault="00841993" w:rsidP="00841993">
            <w:pPr>
              <w:jc w:val="center"/>
            </w:pPr>
            <w:r w:rsidRPr="0005705F">
              <w:t>0.077</w:t>
            </w:r>
          </w:p>
        </w:tc>
        <w:tc>
          <w:tcPr>
            <w:tcW w:w="1742" w:type="dxa"/>
            <w:tcBorders>
              <w:top w:val="nil"/>
              <w:left w:val="nil"/>
              <w:bottom w:val="nil"/>
              <w:right w:val="nil"/>
            </w:tcBorders>
          </w:tcPr>
          <w:p w14:paraId="492D18DC" w14:textId="77777777" w:rsidR="00841993" w:rsidRPr="0005705F" w:rsidRDefault="00841993" w:rsidP="00841993">
            <w:pPr>
              <w:jc w:val="center"/>
            </w:pPr>
            <w:r w:rsidRPr="0005705F">
              <w:t>0.111</w:t>
            </w:r>
          </w:p>
        </w:tc>
        <w:tc>
          <w:tcPr>
            <w:tcW w:w="1742" w:type="dxa"/>
            <w:tcBorders>
              <w:top w:val="nil"/>
              <w:left w:val="nil"/>
              <w:bottom w:val="nil"/>
              <w:right w:val="nil"/>
            </w:tcBorders>
          </w:tcPr>
          <w:p w14:paraId="621F8929" w14:textId="77777777" w:rsidR="00841993" w:rsidRPr="0005705F" w:rsidRDefault="00841993" w:rsidP="00841993">
            <w:pPr>
              <w:jc w:val="center"/>
            </w:pPr>
            <w:r w:rsidRPr="0005705F">
              <w:t>0.009</w:t>
            </w:r>
          </w:p>
        </w:tc>
        <w:tc>
          <w:tcPr>
            <w:tcW w:w="1606" w:type="dxa"/>
            <w:tcBorders>
              <w:top w:val="nil"/>
              <w:left w:val="nil"/>
              <w:bottom w:val="nil"/>
              <w:right w:val="nil"/>
            </w:tcBorders>
          </w:tcPr>
          <w:p w14:paraId="6EDDD08B" w14:textId="77777777" w:rsidR="00841993" w:rsidRPr="0005705F" w:rsidRDefault="00841993" w:rsidP="00841993">
            <w:pPr>
              <w:jc w:val="center"/>
            </w:pPr>
          </w:p>
        </w:tc>
        <w:tc>
          <w:tcPr>
            <w:tcW w:w="1688" w:type="dxa"/>
            <w:tcBorders>
              <w:top w:val="nil"/>
              <w:left w:val="nil"/>
              <w:bottom w:val="nil"/>
              <w:right w:val="nil"/>
            </w:tcBorders>
          </w:tcPr>
          <w:p w14:paraId="4E965EDA" w14:textId="77777777" w:rsidR="00841993" w:rsidRPr="0005705F" w:rsidRDefault="00841993" w:rsidP="00841993">
            <w:pPr>
              <w:jc w:val="center"/>
            </w:pPr>
            <w:r w:rsidRPr="0005705F">
              <w:t>0.025</w:t>
            </w:r>
          </w:p>
        </w:tc>
        <w:tc>
          <w:tcPr>
            <w:tcW w:w="1781" w:type="dxa"/>
            <w:tcBorders>
              <w:top w:val="nil"/>
              <w:left w:val="nil"/>
              <w:bottom w:val="nil"/>
              <w:right w:val="nil"/>
            </w:tcBorders>
          </w:tcPr>
          <w:p w14:paraId="79C1C2DC" w14:textId="77777777" w:rsidR="00841993" w:rsidRPr="0005705F" w:rsidRDefault="00841993" w:rsidP="00841993">
            <w:pPr>
              <w:jc w:val="center"/>
            </w:pPr>
          </w:p>
        </w:tc>
      </w:tr>
      <w:tr w:rsidR="00841993" w14:paraId="4337ADB4" w14:textId="77777777" w:rsidTr="00841993">
        <w:trPr>
          <w:jc w:val="center"/>
        </w:trPr>
        <w:tc>
          <w:tcPr>
            <w:tcW w:w="2856" w:type="dxa"/>
            <w:tcBorders>
              <w:top w:val="nil"/>
              <w:left w:val="nil"/>
              <w:bottom w:val="nil"/>
              <w:right w:val="nil"/>
            </w:tcBorders>
          </w:tcPr>
          <w:p w14:paraId="2E58052C" w14:textId="77777777" w:rsidR="00841993" w:rsidRPr="00B45C3B" w:rsidRDefault="00101683" w:rsidP="00841993">
            <w:pPr>
              <w:widowControl w:val="0"/>
              <w:autoSpaceDE w:val="0"/>
              <w:autoSpaceDN w:val="0"/>
              <w:adjustRightInd w:val="0"/>
            </w:pPr>
            <m:oMathPara>
              <m:oMathParaPr>
                <m:jc m:val="left"/>
              </m:oMathParaPr>
              <m:oMath>
                <m:sSub>
                  <m:sSubPr>
                    <m:ctrlPr>
                      <w:rPr>
                        <w:rFonts w:ascii="Cambria Math" w:hAnsi="Cambria Math"/>
                        <w:i/>
                      </w:rPr>
                    </m:ctrlPr>
                  </m:sSubPr>
                  <m:e>
                    <m:r>
                      <m:rPr>
                        <m:sty m:val="p"/>
                      </m:rPr>
                      <w:rPr>
                        <w:rFonts w:ascii="Cambria Math"/>
                      </w:rPr>
                      <m:t>union density</m:t>
                    </m:r>
                  </m:e>
                  <m:sub>
                    <m:r>
                      <w:rPr>
                        <w:rFonts w:ascii="Cambria Math" w:hAnsi="Cambria Math"/>
                      </w:rPr>
                      <m:t>t-</m:t>
                    </m:r>
                    <m:r>
                      <w:rPr>
                        <w:rFonts w:ascii="Cambria Math"/>
                      </w:rPr>
                      <m:t>2</m:t>
                    </m:r>
                  </m:sub>
                </m:sSub>
              </m:oMath>
            </m:oMathPara>
          </w:p>
        </w:tc>
        <w:tc>
          <w:tcPr>
            <w:tcW w:w="1742" w:type="dxa"/>
            <w:tcBorders>
              <w:top w:val="nil"/>
              <w:left w:val="nil"/>
              <w:bottom w:val="nil"/>
              <w:right w:val="nil"/>
            </w:tcBorders>
          </w:tcPr>
          <w:p w14:paraId="01CB3B42" w14:textId="77777777" w:rsidR="00841993" w:rsidRPr="0005705F" w:rsidRDefault="00841993" w:rsidP="00841993">
            <w:pPr>
              <w:jc w:val="center"/>
            </w:pPr>
            <w:r w:rsidRPr="0005705F">
              <w:t>0.035</w:t>
            </w:r>
          </w:p>
        </w:tc>
        <w:tc>
          <w:tcPr>
            <w:tcW w:w="1742" w:type="dxa"/>
            <w:tcBorders>
              <w:top w:val="nil"/>
              <w:left w:val="nil"/>
              <w:bottom w:val="nil"/>
              <w:right w:val="nil"/>
            </w:tcBorders>
          </w:tcPr>
          <w:p w14:paraId="6CAD1762" w14:textId="77777777" w:rsidR="00841993" w:rsidRPr="0005705F" w:rsidRDefault="00841993" w:rsidP="00841993">
            <w:pPr>
              <w:jc w:val="center"/>
            </w:pPr>
            <w:r w:rsidRPr="0005705F">
              <w:t>0.085*</w:t>
            </w:r>
          </w:p>
        </w:tc>
        <w:tc>
          <w:tcPr>
            <w:tcW w:w="1742" w:type="dxa"/>
            <w:tcBorders>
              <w:top w:val="nil"/>
              <w:left w:val="nil"/>
              <w:bottom w:val="nil"/>
              <w:right w:val="nil"/>
            </w:tcBorders>
          </w:tcPr>
          <w:p w14:paraId="47670496" w14:textId="77777777" w:rsidR="00841993" w:rsidRPr="0005705F" w:rsidRDefault="00841993" w:rsidP="00841993">
            <w:pPr>
              <w:jc w:val="center"/>
            </w:pPr>
            <w:r w:rsidRPr="0005705F">
              <w:t>-0.019</w:t>
            </w:r>
          </w:p>
        </w:tc>
        <w:tc>
          <w:tcPr>
            <w:tcW w:w="1606" w:type="dxa"/>
            <w:tcBorders>
              <w:top w:val="nil"/>
              <w:left w:val="nil"/>
              <w:bottom w:val="nil"/>
              <w:right w:val="nil"/>
            </w:tcBorders>
          </w:tcPr>
          <w:p w14:paraId="5627D452" w14:textId="77777777" w:rsidR="00841993" w:rsidRPr="0005705F" w:rsidRDefault="00841993" w:rsidP="00841993">
            <w:pPr>
              <w:jc w:val="center"/>
            </w:pPr>
          </w:p>
        </w:tc>
        <w:tc>
          <w:tcPr>
            <w:tcW w:w="1688" w:type="dxa"/>
            <w:tcBorders>
              <w:top w:val="nil"/>
              <w:left w:val="nil"/>
              <w:bottom w:val="nil"/>
              <w:right w:val="nil"/>
            </w:tcBorders>
          </w:tcPr>
          <w:p w14:paraId="510921DC" w14:textId="77777777" w:rsidR="00841993" w:rsidRPr="0005705F" w:rsidRDefault="00841993" w:rsidP="00841993">
            <w:pPr>
              <w:jc w:val="center"/>
            </w:pPr>
            <w:r w:rsidRPr="0005705F">
              <w:t>0.048</w:t>
            </w:r>
          </w:p>
        </w:tc>
        <w:tc>
          <w:tcPr>
            <w:tcW w:w="1781" w:type="dxa"/>
            <w:tcBorders>
              <w:top w:val="nil"/>
              <w:left w:val="nil"/>
              <w:bottom w:val="nil"/>
              <w:right w:val="nil"/>
            </w:tcBorders>
          </w:tcPr>
          <w:p w14:paraId="6664C71E" w14:textId="77777777" w:rsidR="00841993" w:rsidRPr="0005705F" w:rsidRDefault="00841993" w:rsidP="00841993">
            <w:pPr>
              <w:jc w:val="center"/>
            </w:pPr>
          </w:p>
        </w:tc>
      </w:tr>
      <w:tr w:rsidR="00841993" w14:paraId="1E289967" w14:textId="77777777" w:rsidTr="00841993">
        <w:trPr>
          <w:jc w:val="center"/>
        </w:trPr>
        <w:tc>
          <w:tcPr>
            <w:tcW w:w="2856" w:type="dxa"/>
            <w:tcBorders>
              <w:top w:val="nil"/>
              <w:left w:val="nil"/>
              <w:bottom w:val="nil"/>
              <w:right w:val="nil"/>
            </w:tcBorders>
          </w:tcPr>
          <w:p w14:paraId="4A0FAA22" w14:textId="77777777" w:rsidR="00841993" w:rsidRPr="00B45C3B" w:rsidRDefault="00841993" w:rsidP="00841993">
            <w:pPr>
              <w:widowControl w:val="0"/>
              <w:autoSpaceDE w:val="0"/>
              <w:autoSpaceDN w:val="0"/>
              <w:adjustRightInd w:val="0"/>
            </w:pPr>
            <w:r w:rsidRPr="00B45C3B">
              <w:rPr>
                <w:iCs/>
              </w:rPr>
              <w:t>R</w:t>
            </w:r>
            <w:r w:rsidRPr="00B45C3B">
              <w:rPr>
                <w:vertAlign w:val="superscript"/>
              </w:rPr>
              <w:t>2</w:t>
            </w:r>
          </w:p>
        </w:tc>
        <w:tc>
          <w:tcPr>
            <w:tcW w:w="1742" w:type="dxa"/>
            <w:tcBorders>
              <w:top w:val="nil"/>
              <w:left w:val="nil"/>
              <w:bottom w:val="nil"/>
              <w:right w:val="nil"/>
            </w:tcBorders>
          </w:tcPr>
          <w:p w14:paraId="55FEA8BA" w14:textId="77777777" w:rsidR="00841993" w:rsidRPr="0005705F" w:rsidRDefault="00841993" w:rsidP="00841993">
            <w:pPr>
              <w:jc w:val="center"/>
            </w:pPr>
            <w:r w:rsidRPr="0005705F">
              <w:t>0.78</w:t>
            </w:r>
          </w:p>
        </w:tc>
        <w:tc>
          <w:tcPr>
            <w:tcW w:w="1742" w:type="dxa"/>
            <w:tcBorders>
              <w:top w:val="nil"/>
              <w:left w:val="nil"/>
              <w:bottom w:val="nil"/>
              <w:right w:val="nil"/>
            </w:tcBorders>
          </w:tcPr>
          <w:p w14:paraId="259BC143" w14:textId="77777777" w:rsidR="00841993" w:rsidRPr="0005705F" w:rsidRDefault="00841993" w:rsidP="00841993">
            <w:pPr>
              <w:jc w:val="center"/>
            </w:pPr>
            <w:r w:rsidRPr="0005705F">
              <w:t>0.77</w:t>
            </w:r>
          </w:p>
        </w:tc>
        <w:tc>
          <w:tcPr>
            <w:tcW w:w="1742" w:type="dxa"/>
            <w:tcBorders>
              <w:top w:val="nil"/>
              <w:left w:val="nil"/>
              <w:bottom w:val="nil"/>
              <w:right w:val="nil"/>
            </w:tcBorders>
          </w:tcPr>
          <w:p w14:paraId="6351EB13" w14:textId="77777777" w:rsidR="00841993" w:rsidRPr="0005705F" w:rsidRDefault="00841993" w:rsidP="00841993">
            <w:pPr>
              <w:jc w:val="center"/>
            </w:pPr>
            <w:r w:rsidRPr="0005705F">
              <w:t>0.87</w:t>
            </w:r>
          </w:p>
        </w:tc>
        <w:tc>
          <w:tcPr>
            <w:tcW w:w="1606" w:type="dxa"/>
            <w:tcBorders>
              <w:top w:val="nil"/>
              <w:left w:val="nil"/>
              <w:bottom w:val="nil"/>
              <w:right w:val="nil"/>
            </w:tcBorders>
          </w:tcPr>
          <w:p w14:paraId="58B41988" w14:textId="77777777" w:rsidR="00841993" w:rsidRPr="0005705F" w:rsidRDefault="00841993" w:rsidP="00841993">
            <w:pPr>
              <w:jc w:val="center"/>
            </w:pPr>
            <w:r w:rsidRPr="0005705F">
              <w:t>0.66</w:t>
            </w:r>
          </w:p>
        </w:tc>
        <w:tc>
          <w:tcPr>
            <w:tcW w:w="1688" w:type="dxa"/>
            <w:tcBorders>
              <w:top w:val="nil"/>
              <w:left w:val="nil"/>
              <w:bottom w:val="nil"/>
              <w:right w:val="nil"/>
            </w:tcBorders>
          </w:tcPr>
          <w:p w14:paraId="10446A40" w14:textId="77777777" w:rsidR="00841993" w:rsidRPr="0005705F" w:rsidRDefault="00841993" w:rsidP="00841993">
            <w:pPr>
              <w:jc w:val="center"/>
            </w:pPr>
            <w:r w:rsidRPr="0005705F">
              <w:t>0.97</w:t>
            </w:r>
          </w:p>
        </w:tc>
        <w:tc>
          <w:tcPr>
            <w:tcW w:w="1781" w:type="dxa"/>
            <w:tcBorders>
              <w:top w:val="nil"/>
              <w:left w:val="nil"/>
              <w:bottom w:val="nil"/>
              <w:right w:val="nil"/>
            </w:tcBorders>
          </w:tcPr>
          <w:p w14:paraId="2BACC5AF" w14:textId="77777777" w:rsidR="00841993" w:rsidRPr="0005705F" w:rsidRDefault="00841993" w:rsidP="00841993">
            <w:pPr>
              <w:jc w:val="center"/>
            </w:pPr>
            <w:r w:rsidRPr="0005705F">
              <w:t>0.86</w:t>
            </w:r>
          </w:p>
        </w:tc>
      </w:tr>
      <w:tr w:rsidR="00841993" w14:paraId="38767E2D" w14:textId="77777777" w:rsidTr="00841993">
        <w:trPr>
          <w:jc w:val="center"/>
        </w:trPr>
        <w:tc>
          <w:tcPr>
            <w:tcW w:w="2856" w:type="dxa"/>
            <w:tcBorders>
              <w:top w:val="nil"/>
              <w:left w:val="nil"/>
              <w:bottom w:val="single" w:sz="6" w:space="0" w:color="auto"/>
              <w:right w:val="nil"/>
            </w:tcBorders>
          </w:tcPr>
          <w:p w14:paraId="1691BB32" w14:textId="77777777" w:rsidR="00841993" w:rsidRPr="00B45C3B" w:rsidRDefault="00841993" w:rsidP="00841993">
            <w:pPr>
              <w:widowControl w:val="0"/>
              <w:autoSpaceDE w:val="0"/>
              <w:autoSpaceDN w:val="0"/>
              <w:adjustRightInd w:val="0"/>
            </w:pPr>
            <w:r w:rsidRPr="00B45C3B">
              <w:rPr>
                <w:iCs/>
              </w:rPr>
              <w:t>N</w:t>
            </w:r>
          </w:p>
        </w:tc>
        <w:tc>
          <w:tcPr>
            <w:tcW w:w="1742" w:type="dxa"/>
            <w:tcBorders>
              <w:top w:val="nil"/>
              <w:left w:val="nil"/>
              <w:bottom w:val="single" w:sz="6" w:space="0" w:color="auto"/>
              <w:right w:val="nil"/>
            </w:tcBorders>
          </w:tcPr>
          <w:p w14:paraId="6FC7182C" w14:textId="77777777" w:rsidR="00841993" w:rsidRPr="0005705F" w:rsidRDefault="00841993" w:rsidP="00841993">
            <w:pPr>
              <w:jc w:val="center"/>
            </w:pPr>
            <w:r w:rsidRPr="0005705F">
              <w:t>86</w:t>
            </w:r>
          </w:p>
        </w:tc>
        <w:tc>
          <w:tcPr>
            <w:tcW w:w="1742" w:type="dxa"/>
            <w:tcBorders>
              <w:top w:val="nil"/>
              <w:left w:val="nil"/>
              <w:bottom w:val="single" w:sz="6" w:space="0" w:color="auto"/>
              <w:right w:val="nil"/>
            </w:tcBorders>
          </w:tcPr>
          <w:p w14:paraId="43F733DD" w14:textId="77777777" w:rsidR="00841993" w:rsidRPr="0005705F" w:rsidRDefault="00841993" w:rsidP="00841993">
            <w:pPr>
              <w:jc w:val="center"/>
            </w:pPr>
            <w:r w:rsidRPr="0005705F">
              <w:t>96</w:t>
            </w:r>
          </w:p>
        </w:tc>
        <w:tc>
          <w:tcPr>
            <w:tcW w:w="1742" w:type="dxa"/>
            <w:tcBorders>
              <w:top w:val="nil"/>
              <w:left w:val="nil"/>
              <w:bottom w:val="single" w:sz="6" w:space="0" w:color="auto"/>
              <w:right w:val="nil"/>
            </w:tcBorders>
          </w:tcPr>
          <w:p w14:paraId="7D8D8411" w14:textId="77777777" w:rsidR="00841993" w:rsidRPr="0005705F" w:rsidRDefault="00841993" w:rsidP="00841993">
            <w:pPr>
              <w:jc w:val="center"/>
            </w:pPr>
            <w:r w:rsidRPr="0005705F">
              <w:t>109</w:t>
            </w:r>
          </w:p>
        </w:tc>
        <w:tc>
          <w:tcPr>
            <w:tcW w:w="1606" w:type="dxa"/>
            <w:tcBorders>
              <w:top w:val="nil"/>
              <w:left w:val="nil"/>
              <w:bottom w:val="single" w:sz="6" w:space="0" w:color="auto"/>
              <w:right w:val="nil"/>
            </w:tcBorders>
          </w:tcPr>
          <w:p w14:paraId="391077C3" w14:textId="77777777" w:rsidR="00841993" w:rsidRPr="0005705F" w:rsidRDefault="00841993" w:rsidP="00841993">
            <w:pPr>
              <w:jc w:val="center"/>
            </w:pPr>
            <w:r w:rsidRPr="0005705F">
              <w:t>82</w:t>
            </w:r>
          </w:p>
        </w:tc>
        <w:tc>
          <w:tcPr>
            <w:tcW w:w="1688" w:type="dxa"/>
            <w:tcBorders>
              <w:top w:val="nil"/>
              <w:left w:val="nil"/>
              <w:bottom w:val="single" w:sz="6" w:space="0" w:color="auto"/>
              <w:right w:val="nil"/>
            </w:tcBorders>
          </w:tcPr>
          <w:p w14:paraId="47CF49C8" w14:textId="77777777" w:rsidR="00841993" w:rsidRPr="0005705F" w:rsidRDefault="00841993" w:rsidP="00841993">
            <w:pPr>
              <w:jc w:val="center"/>
            </w:pPr>
            <w:r w:rsidRPr="0005705F">
              <w:t>68</w:t>
            </w:r>
          </w:p>
        </w:tc>
        <w:tc>
          <w:tcPr>
            <w:tcW w:w="1781" w:type="dxa"/>
            <w:tcBorders>
              <w:top w:val="nil"/>
              <w:left w:val="nil"/>
              <w:bottom w:val="single" w:sz="6" w:space="0" w:color="auto"/>
              <w:right w:val="nil"/>
            </w:tcBorders>
          </w:tcPr>
          <w:p w14:paraId="764E649B" w14:textId="77777777" w:rsidR="00841993" w:rsidRDefault="00841993" w:rsidP="00841993">
            <w:pPr>
              <w:jc w:val="center"/>
            </w:pPr>
            <w:r w:rsidRPr="0005705F">
              <w:t>158</w:t>
            </w:r>
          </w:p>
        </w:tc>
      </w:tr>
    </w:tbl>
    <w:p w14:paraId="34D36588" w14:textId="50B195FC" w:rsidR="002D7707" w:rsidRDefault="002D7707" w:rsidP="006D150D">
      <w:pPr>
        <w:sectPr w:rsidR="002D7707" w:rsidSect="009814D0">
          <w:endnotePr>
            <w:numFmt w:val="decimal"/>
          </w:endnotePr>
          <w:pgSz w:w="15840" w:h="12240" w:orient="landscape"/>
          <w:pgMar w:top="1440" w:right="1440" w:bottom="1440" w:left="1440" w:header="720" w:footer="720" w:gutter="0"/>
          <w:cols w:space="720"/>
          <w:docGrid w:linePitch="360"/>
        </w:sectPr>
      </w:pPr>
      <w:r w:rsidRPr="00BD2B9F">
        <w:lastRenderedPageBreak/>
        <w:t xml:space="preserve">Note:  * </w:t>
      </w:r>
      <w:r w:rsidRPr="00BD2B9F">
        <w:rPr>
          <w:i/>
          <w:iCs/>
        </w:rPr>
        <w:t>p</w:t>
      </w:r>
      <w:r w:rsidRPr="00BD2B9F">
        <w:t xml:space="preserve">&lt;0.1; ** </w:t>
      </w:r>
      <w:r w:rsidRPr="00BD2B9F">
        <w:rPr>
          <w:i/>
          <w:iCs/>
        </w:rPr>
        <w:t>p</w:t>
      </w:r>
      <w:r w:rsidRPr="00BD2B9F">
        <w:t xml:space="preserve">&lt;0.05; *** </w:t>
      </w:r>
      <w:r w:rsidRPr="00BD2B9F">
        <w:rPr>
          <w:i/>
          <w:iCs/>
        </w:rPr>
        <w:t>p</w:t>
      </w:r>
      <w:r w:rsidRPr="00BD2B9F">
        <w:t>&lt;0.01. “∆” indicates first differences, “L∆” difference of first lags, “</w:t>
      </w:r>
      <m:oMath>
        <m:r>
          <w:rPr>
            <w:rFonts w:ascii="Cambria Math" w:hAnsi="Cambria Math"/>
          </w:rPr>
          <m:t>t-1</m:t>
        </m:r>
      </m:oMath>
      <w:r w:rsidRPr="00BD2B9F">
        <w:t>” first lags, and “</w:t>
      </w:r>
      <m:oMath>
        <m:r>
          <w:rPr>
            <w:rFonts w:ascii="Cambria Math" w:hAnsi="Cambria Math"/>
          </w:rPr>
          <m:t>t-2</m:t>
        </m:r>
      </m:oMath>
      <w:r w:rsidRPr="00BD2B9F">
        <w:t xml:space="preserve">” second lags. </w:t>
      </w:r>
      <w:r w:rsidR="00F15C74">
        <w:t>To save space, we do not report s</w:t>
      </w:r>
      <w:r>
        <w:t>tandard errors, constants, and country fixed effects</w:t>
      </w:r>
      <w:r w:rsidRPr="00BD2B9F">
        <w:t>.</w:t>
      </w:r>
    </w:p>
    <w:p w14:paraId="2CEADC70" w14:textId="5841B336" w:rsidR="002D7707" w:rsidRDefault="002D7707" w:rsidP="002344F4">
      <w:pPr>
        <w:spacing w:line="480" w:lineRule="auto"/>
        <w:jc w:val="both"/>
        <w:rPr>
          <w:color w:val="000000"/>
        </w:rPr>
      </w:pPr>
      <w:r>
        <w:lastRenderedPageBreak/>
        <w:tab/>
        <w:t xml:space="preserve">As expected, the coefficients on the lagged dependent variable are all between -1 and 0 and </w:t>
      </w:r>
      <w:r w:rsidRPr="00BD2B9F">
        <w:t>statistically significant</w:t>
      </w:r>
      <w:r>
        <w:t xml:space="preserve">. In line with the analysis in Table </w:t>
      </w:r>
      <w:r w:rsidR="00DD2C20">
        <w:t>1</w:t>
      </w:r>
      <w:r>
        <w:t xml:space="preserve">, Table </w:t>
      </w:r>
      <w:r w:rsidR="00DD2C20">
        <w:t xml:space="preserve">3 </w:t>
      </w:r>
      <w:r>
        <w:t xml:space="preserve">reveals that inequality significantly increases redistribution short term across all clusters and long term in the developed and CEE country clusters. Long term, however, inequality significantly decreases redistribution in </w:t>
      </w:r>
      <w:r w:rsidR="00A472BC">
        <w:t>less developed countries</w:t>
      </w:r>
      <w:r>
        <w:t xml:space="preserve">. Left executives work to increase redistributive spending short term in CEE countries as well as long term in the </w:t>
      </w:r>
      <w:r w:rsidR="007C7723">
        <w:t>Dual, Mediterranean, and CEE clusters</w:t>
      </w:r>
      <w:r>
        <w:t>. The latter finding is in line with Huber and Stephens’ (2012) recent claim that democratic governance has allowed left parties to increase welfare spending in Latin America. Finally, measures of social diversity (not reported) are mostly time invariant and as such, their effects insignificant and indistinguishable from 0.</w:t>
      </w:r>
      <w:r w:rsidR="0036043D">
        <w:t xml:space="preserve"> The effects of other variables are somewhat more mixed.</w:t>
      </w:r>
    </w:p>
    <w:p w14:paraId="491779D9" w14:textId="77777777" w:rsidR="002D7707" w:rsidRPr="00F2490E" w:rsidRDefault="002D7707" w:rsidP="00F2490E">
      <w:pPr>
        <w:ind w:firstLine="720"/>
        <w:rPr>
          <w:color w:val="000000"/>
        </w:rPr>
      </w:pPr>
    </w:p>
    <w:p w14:paraId="24AA4669" w14:textId="77777777" w:rsidR="002D7707" w:rsidRPr="00A066CE" w:rsidRDefault="002D7707" w:rsidP="00003FCC">
      <w:pPr>
        <w:keepNext/>
        <w:spacing w:line="480" w:lineRule="auto"/>
        <w:rPr>
          <w:lang w:eastAsia="ko-KR"/>
        </w:rPr>
      </w:pPr>
      <w:r w:rsidRPr="00A066CE">
        <w:rPr>
          <w:lang w:eastAsia="ko-KR"/>
        </w:rPr>
        <w:t xml:space="preserve">CONCLUDING REMARKS </w:t>
      </w:r>
    </w:p>
    <w:p w14:paraId="335BF60C" w14:textId="77777777" w:rsidR="002D7707" w:rsidRPr="00A066CE" w:rsidRDefault="002D7707" w:rsidP="002D0BAC">
      <w:pPr>
        <w:keepNext/>
        <w:rPr>
          <w:lang w:eastAsia="ko-KR"/>
        </w:rPr>
      </w:pPr>
    </w:p>
    <w:p w14:paraId="69FB0445" w14:textId="675C21C9" w:rsidR="002D7707" w:rsidRDefault="002D7707" w:rsidP="002344F4">
      <w:pPr>
        <w:spacing w:line="480" w:lineRule="auto"/>
        <w:ind w:firstLine="720"/>
        <w:jc w:val="both"/>
        <w:rPr>
          <w:lang w:eastAsia="ko-KR"/>
        </w:rPr>
      </w:pPr>
      <w:r>
        <w:rPr>
          <w:lang w:eastAsia="ko-KR"/>
        </w:rPr>
        <w:t xml:space="preserve">This </w:t>
      </w:r>
      <w:r w:rsidR="00DD4566">
        <w:rPr>
          <w:lang w:eastAsia="ko-KR"/>
        </w:rPr>
        <w:t xml:space="preserve">note </w:t>
      </w:r>
      <w:r>
        <w:rPr>
          <w:lang w:eastAsia="ko-KR"/>
        </w:rPr>
        <w:t>provided</w:t>
      </w:r>
      <w:r w:rsidRPr="00A066CE">
        <w:rPr>
          <w:lang w:eastAsia="ko-KR"/>
        </w:rPr>
        <w:t xml:space="preserve"> a </w:t>
      </w:r>
      <w:r>
        <w:rPr>
          <w:lang w:eastAsia="ko-KR"/>
        </w:rPr>
        <w:t>systematic</w:t>
      </w:r>
      <w:r w:rsidRPr="00A066CE">
        <w:rPr>
          <w:lang w:eastAsia="ko-KR"/>
        </w:rPr>
        <w:t xml:space="preserve"> examination of the politics of income redistribution in democracies. </w:t>
      </w:r>
      <w:r w:rsidR="00BA59FB">
        <w:rPr>
          <w:lang w:eastAsia="ko-KR"/>
        </w:rPr>
        <w:t>We</w:t>
      </w:r>
      <w:r w:rsidRPr="00F300DF">
        <w:rPr>
          <w:lang w:eastAsia="ko-KR"/>
        </w:rPr>
        <w:t xml:space="preserve"> </w:t>
      </w:r>
      <w:r w:rsidR="00BA59FB">
        <w:rPr>
          <w:lang w:eastAsia="ko-KR"/>
        </w:rPr>
        <w:t>beg</w:t>
      </w:r>
      <w:r w:rsidR="00FA241F">
        <w:rPr>
          <w:lang w:eastAsia="ko-KR"/>
        </w:rPr>
        <w:t>a</w:t>
      </w:r>
      <w:r w:rsidR="00BA59FB">
        <w:rPr>
          <w:lang w:eastAsia="ko-KR"/>
        </w:rPr>
        <w:t>n with</w:t>
      </w:r>
      <w:r w:rsidRPr="00F300DF">
        <w:rPr>
          <w:lang w:eastAsia="ko-KR"/>
        </w:rPr>
        <w:t xml:space="preserve"> the premise that inequality’s effects on redistribution are </w:t>
      </w:r>
      <w:r w:rsidRPr="00F300DF">
        <w:t>time</w:t>
      </w:r>
      <w:r w:rsidR="00DD4566">
        <w:t>-</w:t>
      </w:r>
      <w:r w:rsidRPr="00F300DF">
        <w:t>sensitive, country specific, and mediated by other variables.</w:t>
      </w:r>
      <w:r w:rsidRPr="00FA7AC1">
        <w:rPr>
          <w:lang w:eastAsia="ko-KR"/>
        </w:rPr>
        <w:t xml:space="preserve"> </w:t>
      </w:r>
      <w:r w:rsidR="00BA59FB">
        <w:rPr>
          <w:lang w:eastAsia="ko-KR"/>
        </w:rPr>
        <w:t>We therefore depart from previous studies</w:t>
      </w:r>
      <w:r>
        <w:rPr>
          <w:lang w:eastAsia="ko-KR"/>
        </w:rPr>
        <w:t xml:space="preserve"> in three important ways. First, we compare the effects of inequality over time as well as among and within different country clusters. Second, we avoid pooling developed and less developed countries together; i</w:t>
      </w:r>
      <w:r>
        <w:t xml:space="preserve">n so doing, we assume that the effects of inequality and redistribution likely differ across regimes and levels of development. </w:t>
      </w:r>
      <w:r>
        <w:rPr>
          <w:lang w:eastAsia="ko-KR"/>
        </w:rPr>
        <w:t xml:space="preserve">Third, we use a number of statistical models to address the complexity of the relationship between inequality and redistribution. Our models tackle thorny issues of spatial and temporal differences in inequality’s effect on redistribution as well as the problem of endogeneity. </w:t>
      </w:r>
      <w:r w:rsidR="00BA59FB">
        <w:rPr>
          <w:lang w:eastAsia="ko-KR"/>
        </w:rPr>
        <w:t xml:space="preserve">Other </w:t>
      </w:r>
      <w:r>
        <w:rPr>
          <w:lang w:eastAsia="ko-KR"/>
        </w:rPr>
        <w:t>studies</w:t>
      </w:r>
      <w:r w:rsidR="00BA59FB">
        <w:rPr>
          <w:lang w:eastAsia="ko-KR"/>
        </w:rPr>
        <w:t xml:space="preserve"> usually</w:t>
      </w:r>
      <w:r>
        <w:rPr>
          <w:lang w:eastAsia="ko-KR"/>
        </w:rPr>
        <w:t xml:space="preserve"> focus on one or two of the issues identified</w:t>
      </w:r>
      <w:r w:rsidR="00BA59FB">
        <w:rPr>
          <w:lang w:eastAsia="ko-KR"/>
        </w:rPr>
        <w:t xml:space="preserve">, </w:t>
      </w:r>
      <w:r>
        <w:rPr>
          <w:lang w:eastAsia="ko-KR"/>
        </w:rPr>
        <w:t>but never</w:t>
      </w:r>
      <w:r w:rsidR="00BA59FB">
        <w:rPr>
          <w:lang w:eastAsia="ko-KR"/>
        </w:rPr>
        <w:t>—at lea</w:t>
      </w:r>
      <w:r w:rsidR="00B66DBF">
        <w:rPr>
          <w:lang w:eastAsia="ko-KR"/>
        </w:rPr>
        <w:t>s</w:t>
      </w:r>
      <w:r w:rsidR="00BA59FB">
        <w:rPr>
          <w:lang w:eastAsia="ko-KR"/>
        </w:rPr>
        <w:t>t to our knowledge—all three.</w:t>
      </w:r>
    </w:p>
    <w:p w14:paraId="2C31B9CD" w14:textId="47D3B4CC" w:rsidR="00A71C78" w:rsidRDefault="00A71C78" w:rsidP="00A63FB1">
      <w:pPr>
        <w:spacing w:line="480" w:lineRule="auto"/>
        <w:ind w:firstLine="720"/>
        <w:jc w:val="both"/>
      </w:pPr>
      <w:r>
        <w:rPr>
          <w:lang w:eastAsia="ko-KR"/>
        </w:rPr>
        <w:lastRenderedPageBreak/>
        <w:t>F</w:t>
      </w:r>
      <w:r w:rsidR="002D7707">
        <w:rPr>
          <w:lang w:eastAsia="ko-KR"/>
        </w:rPr>
        <w:t xml:space="preserve">ocusing on </w:t>
      </w:r>
      <w:r>
        <w:rPr>
          <w:lang w:eastAsia="ko-KR"/>
        </w:rPr>
        <w:t>theoretical and empirical puzzles in the literature</w:t>
      </w:r>
      <w:r w:rsidR="002D7707">
        <w:rPr>
          <w:lang w:eastAsia="ko-KR"/>
        </w:rPr>
        <w:t xml:space="preserve">, we have </w:t>
      </w:r>
      <w:r w:rsidR="00CC7952">
        <w:rPr>
          <w:lang w:eastAsia="ko-KR"/>
        </w:rPr>
        <w:t>moved</w:t>
      </w:r>
      <w:r w:rsidR="002D7707">
        <w:rPr>
          <w:lang w:eastAsia="ko-KR"/>
        </w:rPr>
        <w:t xml:space="preserve"> beyond </w:t>
      </w:r>
      <w:r w:rsidR="00627B0D">
        <w:rPr>
          <w:lang w:eastAsia="ko-KR"/>
        </w:rPr>
        <w:t xml:space="preserve">the ‘Robin Hood paradox’ and </w:t>
      </w:r>
      <w:r w:rsidR="002D7707">
        <w:rPr>
          <w:lang w:eastAsia="ko-KR"/>
        </w:rPr>
        <w:t xml:space="preserve">the positive </w:t>
      </w:r>
      <w:r w:rsidR="003C1320">
        <w:rPr>
          <w:lang w:eastAsia="ko-KR"/>
        </w:rPr>
        <w:t>short-term</w:t>
      </w:r>
      <w:r w:rsidR="002D7707">
        <w:rPr>
          <w:lang w:eastAsia="ko-KR"/>
        </w:rPr>
        <w:t xml:space="preserve"> effect </w:t>
      </w:r>
      <w:r w:rsidR="002D7707">
        <w:t xml:space="preserve">of inequality that is consistent with the </w:t>
      </w:r>
      <w:r w:rsidR="002D7707" w:rsidRPr="00AC42A7">
        <w:t>median</w:t>
      </w:r>
      <w:r w:rsidR="000318D7">
        <w:t>-</w:t>
      </w:r>
      <w:r w:rsidR="002D7707">
        <w:t>voter theory</w:t>
      </w:r>
      <w:r>
        <w:rPr>
          <w:lang w:eastAsia="ko-KR"/>
        </w:rPr>
        <w:t xml:space="preserve">. As Table 3 demonstrates, the paradox arises </w:t>
      </w:r>
      <w:r w:rsidR="00454662">
        <w:rPr>
          <w:lang w:eastAsia="ko-KR"/>
        </w:rPr>
        <w:t>because of</w:t>
      </w:r>
      <w:r w:rsidR="00221CB5">
        <w:rPr>
          <w:lang w:eastAsia="ko-KR"/>
        </w:rPr>
        <w:t xml:space="preserve"> differing long-</w:t>
      </w:r>
      <w:r>
        <w:rPr>
          <w:lang w:eastAsia="ko-KR"/>
        </w:rPr>
        <w:t xml:space="preserve">run effects of market inequality on redistribution. </w:t>
      </w:r>
      <w:r>
        <w:t xml:space="preserve"> </w:t>
      </w:r>
      <w:r>
        <w:rPr>
          <w:lang w:eastAsia="ko-KR"/>
        </w:rPr>
        <w:t>By tack</w:t>
      </w:r>
      <w:r w:rsidR="00AF5654">
        <w:rPr>
          <w:lang w:eastAsia="ko-KR"/>
        </w:rPr>
        <w:t>l</w:t>
      </w:r>
      <w:r>
        <w:rPr>
          <w:lang w:eastAsia="ko-KR"/>
        </w:rPr>
        <w:t xml:space="preserve">ing </w:t>
      </w:r>
      <w:r w:rsidR="00AF5654">
        <w:rPr>
          <w:lang w:eastAsia="ko-KR"/>
        </w:rPr>
        <w:t>the problem of endogeneity</w:t>
      </w:r>
      <w:r>
        <w:rPr>
          <w:lang w:eastAsia="ko-KR"/>
        </w:rPr>
        <w:t xml:space="preserve">, we have </w:t>
      </w:r>
      <w:r w:rsidR="00627B0D">
        <w:rPr>
          <w:lang w:eastAsia="ko-KR"/>
        </w:rPr>
        <w:t xml:space="preserve">also </w:t>
      </w:r>
      <w:r>
        <w:t>show</w:t>
      </w:r>
      <w:r w:rsidR="00E57FD5">
        <w:t>n</w:t>
      </w:r>
      <w:r>
        <w:t xml:space="preserve"> that redistribution</w:t>
      </w:r>
      <w:r w:rsidR="00221CB5">
        <w:t xml:space="preserve"> affects inequality as much as inequality affects redistribution.</w:t>
      </w:r>
      <w:r>
        <w:t xml:space="preserve"> </w:t>
      </w:r>
    </w:p>
    <w:p w14:paraId="5DDFCA12" w14:textId="57E369B1" w:rsidR="00322EC2" w:rsidRPr="00FC098F" w:rsidRDefault="00AF5654" w:rsidP="00A63FB1">
      <w:pPr>
        <w:spacing w:line="480" w:lineRule="auto"/>
        <w:ind w:firstLine="720"/>
        <w:jc w:val="both"/>
      </w:pPr>
      <w:r>
        <w:rPr>
          <w:lang w:eastAsia="ko-KR"/>
        </w:rPr>
        <w:t xml:space="preserve">While we </w:t>
      </w:r>
      <w:r w:rsidR="00322EC2">
        <w:rPr>
          <w:lang w:eastAsia="ko-KR"/>
        </w:rPr>
        <w:t>entertain</w:t>
      </w:r>
      <w:r w:rsidR="00A71C78">
        <w:rPr>
          <w:lang w:eastAsia="ko-KR"/>
        </w:rPr>
        <w:t>ed</w:t>
      </w:r>
      <w:r w:rsidR="00322EC2">
        <w:rPr>
          <w:lang w:eastAsia="ko-KR"/>
        </w:rPr>
        <w:t xml:space="preserve"> the possibility that</w:t>
      </w:r>
      <w:r w:rsidR="00322EC2">
        <w:t xml:space="preserve"> particular covariates vary in their effects by cluster, the literature has not developed to the point where we are able to determine which variables (if any) vary systematically in their effects, </w:t>
      </w:r>
      <w:r w:rsidR="00CA086C">
        <w:t xml:space="preserve">let alone </w:t>
      </w:r>
      <w:r w:rsidR="00322EC2">
        <w:t>when and why.  We do capture country</w:t>
      </w:r>
      <w:r w:rsidR="00CA086C">
        <w:t>-</w:t>
      </w:r>
      <w:r w:rsidR="00322EC2">
        <w:t xml:space="preserve">specific fixed effects in our equations, which accord with our </w:t>
      </w:r>
      <w:r w:rsidR="00CA086C">
        <w:t xml:space="preserve">two </w:t>
      </w:r>
      <w:r w:rsidR="00322EC2">
        <w:t>expectation</w:t>
      </w:r>
      <w:r w:rsidR="00CA086C">
        <w:t>s: first,</w:t>
      </w:r>
      <w:r w:rsidR="00322EC2">
        <w:t xml:space="preserve"> that</w:t>
      </w:r>
      <w:r w:rsidR="00CA086C">
        <w:t>,</w:t>
      </w:r>
      <w:r w:rsidR="00322EC2">
        <w:t xml:space="preserve"> even within clusters, important differences in the design and operation of the welfare state remain</w:t>
      </w:r>
      <w:r w:rsidR="00CA086C">
        <w:t xml:space="preserve">; and, second, </w:t>
      </w:r>
      <w:r w:rsidR="00322EC2">
        <w:t xml:space="preserve">that </w:t>
      </w:r>
      <w:r w:rsidR="00CA086C">
        <w:t xml:space="preserve">while </w:t>
      </w:r>
      <w:r w:rsidR="00322EC2">
        <w:t xml:space="preserve">regime </w:t>
      </w:r>
      <w:r w:rsidR="00627B0D">
        <w:t>classifications</w:t>
      </w:r>
      <w:r w:rsidR="00CA086C">
        <w:t xml:space="preserve"> do</w:t>
      </w:r>
      <w:r w:rsidR="00322EC2">
        <w:t xml:space="preserve"> group countries according to important historical and geographical legacies</w:t>
      </w:r>
      <w:r w:rsidR="00CA086C">
        <w:t>, they also mask important variation.</w:t>
      </w:r>
    </w:p>
    <w:p w14:paraId="6D57E9CE" w14:textId="137E3195" w:rsidR="002D7707" w:rsidRDefault="00CA086C" w:rsidP="006E485B">
      <w:pPr>
        <w:spacing w:line="480" w:lineRule="auto"/>
        <w:ind w:firstLine="720"/>
        <w:jc w:val="both"/>
        <w:rPr>
          <w:lang w:eastAsia="ko-KR"/>
        </w:rPr>
      </w:pPr>
      <w:r>
        <w:rPr>
          <w:lang w:eastAsia="ko-KR"/>
        </w:rPr>
        <w:t>Still, we find that</w:t>
      </w:r>
      <w:r w:rsidR="002D7707">
        <w:rPr>
          <w:lang w:eastAsia="ko-KR"/>
        </w:rPr>
        <w:t xml:space="preserve"> </w:t>
      </w:r>
      <w:r w:rsidR="00A71C78">
        <w:rPr>
          <w:lang w:eastAsia="ko-KR"/>
        </w:rPr>
        <w:t>m</w:t>
      </w:r>
      <w:r w:rsidR="002D7707" w:rsidRPr="00A066CE">
        <w:t xml:space="preserve">arket inequality </w:t>
      </w:r>
      <w:r w:rsidR="002D7707">
        <w:t>provides strong redistributive impetuses in developed and Central/Eastern European countries</w:t>
      </w:r>
      <w:r w:rsidR="002D7707">
        <w:rPr>
          <w:lang w:eastAsia="ko-KR"/>
        </w:rPr>
        <w:t>, but it significantly reduces redistributive spending long-term in a sample of developing democracies.</w:t>
      </w:r>
      <w:r w:rsidR="00977C11">
        <w:rPr>
          <w:lang w:eastAsia="ko-KR"/>
        </w:rPr>
        <w:t xml:space="preserve"> Central and Eastern European welfare states thus differ in important ways from their counterparts in less developed countries.</w:t>
      </w:r>
      <w:r>
        <w:rPr>
          <w:lang w:eastAsia="ko-KR"/>
        </w:rPr>
        <w:t xml:space="preserve"> </w:t>
      </w:r>
      <w:r w:rsidR="00DF1834">
        <w:rPr>
          <w:lang w:eastAsia="ko-KR"/>
        </w:rPr>
        <w:t>These findings illustrate</w:t>
      </w:r>
      <w:r w:rsidR="00DF1834" w:rsidRPr="00DF1834">
        <w:rPr>
          <w:lang w:eastAsia="ko-KR"/>
        </w:rPr>
        <w:t xml:space="preserve"> </w:t>
      </w:r>
      <w:r w:rsidR="00DF1834">
        <w:rPr>
          <w:lang w:eastAsia="ko-KR"/>
        </w:rPr>
        <w:t>why scholars should not make universal claims about the relationship between inequality and redistribution</w:t>
      </w:r>
      <w:r w:rsidR="00DF1834" w:rsidRPr="00991010">
        <w:rPr>
          <w:szCs w:val="28"/>
        </w:rPr>
        <w:t>.</w:t>
      </w:r>
      <w:r w:rsidR="00DF1834">
        <w:rPr>
          <w:szCs w:val="28"/>
        </w:rPr>
        <w:t xml:space="preserve"> </w:t>
      </w:r>
    </w:p>
    <w:p w14:paraId="4692D661" w14:textId="77777777" w:rsidR="006917E1" w:rsidRDefault="006917E1" w:rsidP="006E485B">
      <w:pPr>
        <w:spacing w:line="480" w:lineRule="auto"/>
        <w:ind w:firstLine="720"/>
        <w:jc w:val="both"/>
        <w:rPr>
          <w:lang w:eastAsia="ko-KR"/>
        </w:rPr>
      </w:pPr>
    </w:p>
    <w:p w14:paraId="0A37140B" w14:textId="7E08A470" w:rsidR="006917E1" w:rsidRDefault="006917E1" w:rsidP="0053678A">
      <w:pPr>
        <w:spacing w:line="480" w:lineRule="auto"/>
        <w:jc w:val="center"/>
        <w:rPr>
          <w:u w:val="single"/>
          <w:lang w:eastAsia="ko-KR"/>
        </w:rPr>
      </w:pPr>
      <w:commentRangeStart w:id="2"/>
      <w:r>
        <w:rPr>
          <w:lang w:eastAsia="ko-KR"/>
        </w:rPr>
        <w:t>Supplementary Information</w:t>
      </w:r>
      <w:commentRangeEnd w:id="2"/>
      <w:r>
        <w:rPr>
          <w:rStyle w:val="CommentReference"/>
        </w:rPr>
        <w:commentReference w:id="2"/>
      </w:r>
    </w:p>
    <w:p w14:paraId="2C99509A" w14:textId="1E5DF67F" w:rsidR="006917E1" w:rsidRPr="006917E1" w:rsidRDefault="006917E1" w:rsidP="0053678A">
      <w:pPr>
        <w:spacing w:line="480" w:lineRule="auto"/>
        <w:rPr>
          <w:color w:val="000000"/>
        </w:rPr>
      </w:pPr>
      <w:r>
        <w:rPr>
          <w:color w:val="000000"/>
        </w:rPr>
        <w:t xml:space="preserve">Replication </w:t>
      </w:r>
      <w:r w:rsidR="001D01DF">
        <w:rPr>
          <w:color w:val="000000"/>
        </w:rPr>
        <w:t>files</w:t>
      </w:r>
      <w:r>
        <w:rPr>
          <w:color w:val="000000"/>
        </w:rPr>
        <w:t xml:space="preserve"> are available at </w:t>
      </w:r>
      <w:hyperlink r:id="rId13" w:history="1">
        <w:r w:rsidR="00DF1834" w:rsidRPr="00D20D07">
          <w:rPr>
            <w:rStyle w:val="Hyperlink"/>
          </w:rPr>
          <w:t>http://faculty.fordham.edu/aleman/</w:t>
        </w:r>
      </w:hyperlink>
      <w:r w:rsidR="00DF1834">
        <w:rPr>
          <w:color w:val="000000"/>
        </w:rPr>
        <w:t xml:space="preserve"> </w:t>
      </w:r>
      <w:r>
        <w:rPr>
          <w:color w:val="000000"/>
        </w:rPr>
        <w:t xml:space="preserve">and the </w:t>
      </w:r>
      <w:r>
        <w:rPr>
          <w:i/>
          <w:color w:val="000000"/>
        </w:rPr>
        <w:t>International Studies Quarterly</w:t>
      </w:r>
      <w:r>
        <w:rPr>
          <w:color w:val="000000"/>
        </w:rPr>
        <w:t xml:space="preserve"> data archive.</w:t>
      </w:r>
    </w:p>
    <w:p w14:paraId="60B178CC" w14:textId="77777777" w:rsidR="002D7707" w:rsidRDefault="002D7707" w:rsidP="002F4197">
      <w:pPr>
        <w:spacing w:line="480" w:lineRule="auto"/>
        <w:ind w:firstLine="720"/>
      </w:pPr>
    </w:p>
    <w:p w14:paraId="137418C8" w14:textId="77777777" w:rsidR="002D7707" w:rsidRPr="009C1199" w:rsidRDefault="002D7707" w:rsidP="009C1199">
      <w:pPr>
        <w:pStyle w:val="NormalWeb"/>
        <w:jc w:val="center"/>
        <w:rPr>
          <w:color w:val="000000"/>
        </w:rPr>
      </w:pPr>
      <w:r>
        <w:br w:type="page"/>
      </w:r>
      <w:r w:rsidRPr="009C1199">
        <w:rPr>
          <w:color w:val="000000"/>
        </w:rPr>
        <w:lastRenderedPageBreak/>
        <w:t>References</w:t>
      </w:r>
    </w:p>
    <w:p w14:paraId="67E76EFF" w14:textId="15C63650" w:rsidR="002D7707" w:rsidRPr="009C1199" w:rsidRDefault="002D7707" w:rsidP="00BD2B9F">
      <w:pPr>
        <w:pStyle w:val="NormalWeb"/>
        <w:ind w:left="450" w:hanging="450"/>
        <w:jc w:val="both"/>
        <w:rPr>
          <w:color w:val="000000"/>
        </w:rPr>
      </w:pPr>
      <w:r w:rsidRPr="009C1199">
        <w:rPr>
          <w:color w:val="000000"/>
        </w:rPr>
        <w:t>Alesina, Alberto, Arnaud Devleeschauwer, William Easterly, Sergio Kurlat, and Romain Wacziarg. 2003. "Fractionalization."</w:t>
      </w:r>
      <w:r w:rsidRPr="009C1199">
        <w:rPr>
          <w:rStyle w:val="apple-converted-space"/>
          <w:color w:val="000000"/>
        </w:rPr>
        <w:t> </w:t>
      </w:r>
      <w:r w:rsidRPr="009C1199">
        <w:rPr>
          <w:i/>
          <w:iCs/>
          <w:color w:val="000000"/>
        </w:rPr>
        <w:t>Journal of Economic Growth</w:t>
      </w:r>
      <w:r w:rsidRPr="009C1199">
        <w:rPr>
          <w:rStyle w:val="apple-converted-space"/>
          <w:color w:val="000000"/>
        </w:rPr>
        <w:t> </w:t>
      </w:r>
      <w:r w:rsidRPr="009C1199">
        <w:rPr>
          <w:color w:val="000000"/>
        </w:rPr>
        <w:t>8(2):</w:t>
      </w:r>
      <w:r w:rsidR="00525B62">
        <w:rPr>
          <w:color w:val="000000"/>
        </w:rPr>
        <w:t xml:space="preserve"> </w:t>
      </w:r>
      <w:r w:rsidRPr="009C1199">
        <w:rPr>
          <w:color w:val="000000"/>
        </w:rPr>
        <w:t>155-94.</w:t>
      </w:r>
    </w:p>
    <w:p w14:paraId="349A0B46" w14:textId="5D75601E" w:rsidR="002D7707" w:rsidRPr="009C1199" w:rsidRDefault="002D7707" w:rsidP="00BD2B9F">
      <w:pPr>
        <w:pStyle w:val="NormalWeb"/>
        <w:ind w:left="450" w:hanging="450"/>
        <w:jc w:val="both"/>
        <w:rPr>
          <w:color w:val="000000"/>
        </w:rPr>
      </w:pPr>
      <w:r w:rsidRPr="009C1199">
        <w:rPr>
          <w:color w:val="000000"/>
        </w:rPr>
        <w:t>Alesina, Alberto, and Edward Glaeser. 2004.</w:t>
      </w:r>
      <w:r w:rsidRPr="009C1199">
        <w:rPr>
          <w:rStyle w:val="apple-converted-space"/>
          <w:color w:val="000000"/>
        </w:rPr>
        <w:t> </w:t>
      </w:r>
      <w:r w:rsidRPr="009C1199">
        <w:rPr>
          <w:i/>
          <w:iCs/>
          <w:color w:val="000000"/>
        </w:rPr>
        <w:t>Fighting Poverty in the US and Europe</w:t>
      </w:r>
      <w:r w:rsidRPr="009C1199">
        <w:rPr>
          <w:color w:val="000000"/>
        </w:rPr>
        <w:t>. Oxford</w:t>
      </w:r>
      <w:r w:rsidR="00FD2BAA">
        <w:rPr>
          <w:color w:val="000000"/>
        </w:rPr>
        <w:t>, U.K.</w:t>
      </w:r>
      <w:r w:rsidRPr="009C1199">
        <w:rPr>
          <w:color w:val="000000"/>
        </w:rPr>
        <w:t>: Oxford University Press.</w:t>
      </w:r>
    </w:p>
    <w:p w14:paraId="14AF3FB8" w14:textId="701E5C2C" w:rsidR="002D7707" w:rsidRPr="009C1199" w:rsidRDefault="002D7707" w:rsidP="00BD2B9F">
      <w:pPr>
        <w:pStyle w:val="NormalWeb"/>
        <w:ind w:left="450" w:hanging="450"/>
        <w:jc w:val="both"/>
        <w:rPr>
          <w:color w:val="000000"/>
        </w:rPr>
      </w:pPr>
      <w:r w:rsidRPr="009C1199">
        <w:rPr>
          <w:color w:val="000000"/>
        </w:rPr>
        <w:t>Alesina, Alberto, and Romain Wacziarg. 1998. "Openness, Country Size and Government."</w:t>
      </w:r>
      <w:r w:rsidRPr="009C1199">
        <w:rPr>
          <w:rStyle w:val="apple-converted-space"/>
          <w:color w:val="000000"/>
        </w:rPr>
        <w:t> </w:t>
      </w:r>
      <w:r w:rsidRPr="009C1199">
        <w:rPr>
          <w:i/>
          <w:iCs/>
          <w:color w:val="000000"/>
        </w:rPr>
        <w:t>Journal of Public Economics</w:t>
      </w:r>
      <w:r w:rsidRPr="009C1199">
        <w:rPr>
          <w:rStyle w:val="apple-converted-space"/>
          <w:color w:val="000000"/>
        </w:rPr>
        <w:t> </w:t>
      </w:r>
      <w:r w:rsidRPr="009C1199">
        <w:rPr>
          <w:color w:val="000000"/>
        </w:rPr>
        <w:t>69(3):</w:t>
      </w:r>
      <w:r w:rsidR="00525B62">
        <w:rPr>
          <w:color w:val="000000"/>
        </w:rPr>
        <w:t xml:space="preserve"> </w:t>
      </w:r>
      <w:r w:rsidRPr="009C1199">
        <w:rPr>
          <w:color w:val="000000"/>
        </w:rPr>
        <w:t>305-21.</w:t>
      </w:r>
    </w:p>
    <w:p w14:paraId="7E83E1BD" w14:textId="57C2FE44" w:rsidR="00115B67" w:rsidRPr="00987596" w:rsidRDefault="00115B67" w:rsidP="00115B67">
      <w:pPr>
        <w:pStyle w:val="NormalWeb"/>
        <w:ind w:left="450" w:hanging="450"/>
        <w:jc w:val="both"/>
        <w:rPr>
          <w:color w:val="000000"/>
        </w:rPr>
      </w:pPr>
      <w:r>
        <w:rPr>
          <w:color w:val="000000"/>
        </w:rPr>
        <w:t xml:space="preserve">Atkinson, Anthony B. 2015. </w:t>
      </w:r>
      <w:r>
        <w:rPr>
          <w:i/>
          <w:color w:val="000000"/>
        </w:rPr>
        <w:t>Inequality: What Can Be Done</w:t>
      </w:r>
      <w:r w:rsidR="00525B62">
        <w:rPr>
          <w:color w:val="000000"/>
        </w:rPr>
        <w:t>?</w:t>
      </w:r>
      <w:r>
        <w:rPr>
          <w:color w:val="000000"/>
        </w:rPr>
        <w:t xml:space="preserve"> Cambridge</w:t>
      </w:r>
      <w:r w:rsidR="00FD2BAA">
        <w:rPr>
          <w:color w:val="000000"/>
        </w:rPr>
        <w:t>, MA</w:t>
      </w:r>
      <w:r>
        <w:rPr>
          <w:color w:val="000000"/>
        </w:rPr>
        <w:t>: Harvard University Press.</w:t>
      </w:r>
    </w:p>
    <w:p w14:paraId="13E0B8F7" w14:textId="02ADC4C9" w:rsidR="002D7707" w:rsidRPr="009C1199" w:rsidRDefault="002D7707" w:rsidP="00BD2B9F">
      <w:pPr>
        <w:pStyle w:val="NormalWeb"/>
        <w:ind w:left="450" w:hanging="450"/>
        <w:jc w:val="both"/>
        <w:rPr>
          <w:color w:val="000000"/>
        </w:rPr>
      </w:pPr>
      <w:r w:rsidRPr="009C1199">
        <w:rPr>
          <w:color w:val="000000"/>
        </w:rPr>
        <w:t>Bartels, Brandon L. 2015. "Beyond ‘Fixed Versus Random Effects’: A Framework for Improving Substantive and Statistical Analysis of Panel, TSCS, and Multilevel Data." In</w:t>
      </w:r>
      <w:r w:rsidRPr="009C1199">
        <w:rPr>
          <w:rStyle w:val="apple-converted-space"/>
          <w:color w:val="000000"/>
        </w:rPr>
        <w:t> </w:t>
      </w:r>
      <w:r w:rsidRPr="009C1199">
        <w:rPr>
          <w:i/>
          <w:iCs/>
          <w:color w:val="000000"/>
        </w:rPr>
        <w:t>Quantitative Research in Political Science,</w:t>
      </w:r>
      <w:r w:rsidRPr="009C1199">
        <w:rPr>
          <w:rStyle w:val="apple-converted-space"/>
          <w:color w:val="000000"/>
        </w:rPr>
        <w:t> </w:t>
      </w:r>
      <w:r w:rsidRPr="009C1199">
        <w:rPr>
          <w:color w:val="000000"/>
        </w:rPr>
        <w:t>ed</w:t>
      </w:r>
      <w:r w:rsidR="00540F92">
        <w:rPr>
          <w:color w:val="000000"/>
        </w:rPr>
        <w:t>ited by</w:t>
      </w:r>
      <w:r w:rsidRPr="009C1199">
        <w:rPr>
          <w:color w:val="000000"/>
        </w:rPr>
        <w:t xml:space="preserve"> Robert J. Franzese</w:t>
      </w:r>
      <w:r w:rsidR="003A44A5">
        <w:rPr>
          <w:color w:val="000000"/>
        </w:rPr>
        <w:t>, 93-121</w:t>
      </w:r>
      <w:r w:rsidR="00540F92">
        <w:rPr>
          <w:color w:val="000000"/>
        </w:rPr>
        <w:t>. London</w:t>
      </w:r>
      <w:r w:rsidR="00FD2BAA">
        <w:rPr>
          <w:color w:val="000000"/>
        </w:rPr>
        <w:t>, U.K.</w:t>
      </w:r>
      <w:r w:rsidR="00540F92">
        <w:rPr>
          <w:color w:val="000000"/>
        </w:rPr>
        <w:t>:</w:t>
      </w:r>
      <w:r w:rsidRPr="009C1199">
        <w:rPr>
          <w:color w:val="000000"/>
        </w:rPr>
        <w:t xml:space="preserve"> Sage.</w:t>
      </w:r>
    </w:p>
    <w:p w14:paraId="0CC6FB84" w14:textId="6EA16153" w:rsidR="00AF5654" w:rsidRDefault="00AF5654" w:rsidP="00BD2B9F">
      <w:pPr>
        <w:pStyle w:val="NormalWeb"/>
        <w:ind w:left="450" w:hanging="450"/>
        <w:jc w:val="both"/>
        <w:rPr>
          <w:color w:val="000000"/>
        </w:rPr>
      </w:pPr>
      <w:r>
        <w:rPr>
          <w:color w:val="000000"/>
        </w:rPr>
        <w:t>Bassett, William F., John P. Burkett, and Louis Putterman. 1999. "Income Distribution, Government Transfers, and the Problem of Unequal Influence."</w:t>
      </w:r>
      <w:r>
        <w:rPr>
          <w:rStyle w:val="apple-converted-space"/>
          <w:color w:val="000000"/>
        </w:rPr>
        <w:t> </w:t>
      </w:r>
      <w:r>
        <w:rPr>
          <w:i/>
          <w:iCs/>
          <w:color w:val="000000"/>
        </w:rPr>
        <w:t>European Journal of Political Economy</w:t>
      </w:r>
      <w:r>
        <w:rPr>
          <w:rStyle w:val="apple-converted-space"/>
          <w:color w:val="000000"/>
        </w:rPr>
        <w:t> </w:t>
      </w:r>
      <w:r>
        <w:rPr>
          <w:color w:val="000000"/>
        </w:rPr>
        <w:t>15(2):</w:t>
      </w:r>
      <w:r w:rsidR="00525B62">
        <w:rPr>
          <w:color w:val="000000"/>
        </w:rPr>
        <w:t xml:space="preserve"> </w:t>
      </w:r>
      <w:r>
        <w:rPr>
          <w:color w:val="000000"/>
        </w:rPr>
        <w:t>207-28.</w:t>
      </w:r>
    </w:p>
    <w:p w14:paraId="273245F7" w14:textId="401F9933" w:rsidR="002D7707" w:rsidRPr="009C1199" w:rsidRDefault="002D7707" w:rsidP="00BD2B9F">
      <w:pPr>
        <w:pStyle w:val="NormalWeb"/>
        <w:ind w:left="450" w:hanging="450"/>
        <w:jc w:val="both"/>
        <w:rPr>
          <w:color w:val="000000"/>
        </w:rPr>
      </w:pPr>
      <w:r w:rsidRPr="009C1199">
        <w:rPr>
          <w:color w:val="000000"/>
        </w:rPr>
        <w:t xml:space="preserve">Baum, Christopher F., </w:t>
      </w:r>
      <w:r w:rsidR="004530D7">
        <w:rPr>
          <w:color w:val="000000"/>
        </w:rPr>
        <w:t xml:space="preserve">Schaffer, Mark E., </w:t>
      </w:r>
      <w:r w:rsidRPr="009C1199">
        <w:rPr>
          <w:color w:val="000000"/>
        </w:rPr>
        <w:t>and Steven Stillman. 2003. "Instrumental Variables and GMM: Estimation and Testing."</w:t>
      </w:r>
      <w:r w:rsidRPr="009C1199">
        <w:rPr>
          <w:rStyle w:val="apple-converted-space"/>
          <w:color w:val="000000"/>
        </w:rPr>
        <w:t> </w:t>
      </w:r>
      <w:r w:rsidRPr="009C1199">
        <w:rPr>
          <w:i/>
          <w:iCs/>
          <w:color w:val="000000"/>
        </w:rPr>
        <w:t>Stata Journal</w:t>
      </w:r>
      <w:r w:rsidRPr="009C1199">
        <w:rPr>
          <w:rStyle w:val="apple-converted-space"/>
          <w:color w:val="000000"/>
        </w:rPr>
        <w:t> </w:t>
      </w:r>
      <w:r w:rsidRPr="009C1199">
        <w:rPr>
          <w:color w:val="000000"/>
        </w:rPr>
        <w:t>3(1):</w:t>
      </w:r>
      <w:r w:rsidR="00525B62">
        <w:rPr>
          <w:color w:val="000000"/>
        </w:rPr>
        <w:t xml:space="preserve"> </w:t>
      </w:r>
      <w:r w:rsidRPr="009C1199">
        <w:rPr>
          <w:color w:val="000000"/>
        </w:rPr>
        <w:t>1-31.</w:t>
      </w:r>
    </w:p>
    <w:p w14:paraId="4EB2D40B" w14:textId="174510AC" w:rsidR="002D7707" w:rsidRPr="009C1199" w:rsidRDefault="002D7707" w:rsidP="00BD2B9F">
      <w:pPr>
        <w:pStyle w:val="NormalWeb"/>
        <w:ind w:left="450" w:hanging="450"/>
        <w:jc w:val="both"/>
        <w:rPr>
          <w:color w:val="000000"/>
        </w:rPr>
      </w:pPr>
      <w:r w:rsidRPr="009C1199">
        <w:rPr>
          <w:color w:val="000000"/>
        </w:rPr>
        <w:t>Bazzi, Samuel, and Michael A. Clemens. 2013. "Blunt Instruments: Avoiding Common Pitfalls in Identifying the Causes of Economic Growth."</w:t>
      </w:r>
      <w:r w:rsidRPr="009C1199">
        <w:rPr>
          <w:rStyle w:val="apple-converted-space"/>
          <w:color w:val="000000"/>
        </w:rPr>
        <w:t> </w:t>
      </w:r>
      <w:r w:rsidRPr="009C1199">
        <w:rPr>
          <w:i/>
          <w:iCs/>
          <w:color w:val="000000"/>
        </w:rPr>
        <w:t>American Economic Journal: Macroeconomics</w:t>
      </w:r>
      <w:r w:rsidRPr="009C1199">
        <w:rPr>
          <w:rStyle w:val="apple-converted-space"/>
          <w:color w:val="000000"/>
        </w:rPr>
        <w:t> </w:t>
      </w:r>
      <w:r w:rsidRPr="009C1199">
        <w:rPr>
          <w:color w:val="000000"/>
        </w:rPr>
        <w:t>5(2):</w:t>
      </w:r>
      <w:r w:rsidR="00525B62">
        <w:rPr>
          <w:color w:val="000000"/>
        </w:rPr>
        <w:t xml:space="preserve"> </w:t>
      </w:r>
      <w:r w:rsidRPr="009C1199">
        <w:rPr>
          <w:color w:val="000000"/>
        </w:rPr>
        <w:t>152-86.</w:t>
      </w:r>
    </w:p>
    <w:p w14:paraId="3D7D967E" w14:textId="4F9D537A" w:rsidR="002D7707" w:rsidRPr="009C1199" w:rsidRDefault="002D7707" w:rsidP="00BD2B9F">
      <w:pPr>
        <w:pStyle w:val="NormalWeb"/>
        <w:ind w:left="450" w:hanging="450"/>
        <w:jc w:val="both"/>
        <w:rPr>
          <w:color w:val="000000"/>
        </w:rPr>
      </w:pPr>
      <w:r w:rsidRPr="009C1199">
        <w:rPr>
          <w:color w:val="000000"/>
        </w:rPr>
        <w:t>Beck, George, Alberto Clarke, Philip K. Groff, and Patrick Walsh. 2001. "New Tools in Comparative Political Economy: The Database of Political Institutions."</w:t>
      </w:r>
      <w:r w:rsidRPr="009C1199">
        <w:rPr>
          <w:rStyle w:val="apple-converted-space"/>
          <w:color w:val="000000"/>
        </w:rPr>
        <w:t> </w:t>
      </w:r>
      <w:r w:rsidRPr="009C1199">
        <w:rPr>
          <w:i/>
          <w:iCs/>
          <w:color w:val="000000"/>
        </w:rPr>
        <w:t>World Bank Economic Review</w:t>
      </w:r>
      <w:r w:rsidRPr="009C1199">
        <w:rPr>
          <w:rStyle w:val="apple-converted-space"/>
          <w:color w:val="000000"/>
        </w:rPr>
        <w:t> </w:t>
      </w:r>
      <w:r w:rsidRPr="009C1199">
        <w:rPr>
          <w:color w:val="000000"/>
        </w:rPr>
        <w:t>15(1):</w:t>
      </w:r>
      <w:r w:rsidR="00525B62">
        <w:rPr>
          <w:color w:val="000000"/>
        </w:rPr>
        <w:t xml:space="preserve"> </w:t>
      </w:r>
      <w:r w:rsidRPr="009C1199">
        <w:rPr>
          <w:color w:val="000000"/>
        </w:rPr>
        <w:t>165-76.</w:t>
      </w:r>
    </w:p>
    <w:p w14:paraId="16033A37" w14:textId="6198439D" w:rsidR="002D7707" w:rsidRPr="009C1199" w:rsidRDefault="002D7707" w:rsidP="00BD2B9F">
      <w:pPr>
        <w:pStyle w:val="NormalWeb"/>
        <w:ind w:left="450" w:hanging="450"/>
        <w:jc w:val="both"/>
        <w:rPr>
          <w:color w:val="000000"/>
        </w:rPr>
      </w:pPr>
      <w:r w:rsidRPr="009C1199">
        <w:rPr>
          <w:color w:val="000000"/>
        </w:rPr>
        <w:t>Benabou, Roland. 2000. "Unequal Societies: Income Distribution and the Social Contract."</w:t>
      </w:r>
      <w:r w:rsidRPr="009C1199">
        <w:rPr>
          <w:rStyle w:val="apple-converted-space"/>
          <w:color w:val="000000"/>
        </w:rPr>
        <w:t> </w:t>
      </w:r>
      <w:r w:rsidRPr="009C1199">
        <w:rPr>
          <w:i/>
          <w:iCs/>
          <w:color w:val="000000"/>
        </w:rPr>
        <w:t>The American Economic Review</w:t>
      </w:r>
      <w:r w:rsidRPr="009C1199">
        <w:rPr>
          <w:rStyle w:val="apple-converted-space"/>
          <w:color w:val="000000"/>
        </w:rPr>
        <w:t> </w:t>
      </w:r>
      <w:r w:rsidRPr="009C1199">
        <w:rPr>
          <w:color w:val="000000"/>
        </w:rPr>
        <w:t>90(1):</w:t>
      </w:r>
      <w:r w:rsidR="00525B62">
        <w:rPr>
          <w:color w:val="000000"/>
        </w:rPr>
        <w:t xml:space="preserve"> </w:t>
      </w:r>
      <w:r w:rsidRPr="009C1199">
        <w:rPr>
          <w:color w:val="000000"/>
        </w:rPr>
        <w:t>96-129.</w:t>
      </w:r>
    </w:p>
    <w:p w14:paraId="14DD0CAD" w14:textId="2966C523" w:rsidR="002D7707" w:rsidRPr="009C1199" w:rsidRDefault="002D7707" w:rsidP="00BD2B9F">
      <w:pPr>
        <w:pStyle w:val="NormalWeb"/>
        <w:ind w:left="450" w:hanging="450"/>
        <w:jc w:val="both"/>
        <w:rPr>
          <w:color w:val="000000"/>
        </w:rPr>
      </w:pPr>
      <w:r w:rsidRPr="009C1199">
        <w:rPr>
          <w:color w:val="000000"/>
        </w:rPr>
        <w:t>Beramendi, Pablo, and Philipp Rehm. 2016. "Who Gives, Who Gains? Progressivity and Preferences."</w:t>
      </w:r>
      <w:r w:rsidRPr="009C1199">
        <w:rPr>
          <w:rStyle w:val="apple-converted-space"/>
          <w:color w:val="000000"/>
        </w:rPr>
        <w:t> </w:t>
      </w:r>
      <w:r w:rsidRPr="009C1199">
        <w:rPr>
          <w:i/>
          <w:iCs/>
          <w:color w:val="000000"/>
        </w:rPr>
        <w:t>Comparative Political Studies</w:t>
      </w:r>
      <w:r w:rsidRPr="009C1199">
        <w:rPr>
          <w:rStyle w:val="apple-converted-space"/>
          <w:color w:val="000000"/>
        </w:rPr>
        <w:t> </w:t>
      </w:r>
      <w:r w:rsidR="00540F92">
        <w:rPr>
          <w:color w:val="000000"/>
        </w:rPr>
        <w:t>49(4)</w:t>
      </w:r>
      <w:r w:rsidRPr="009C1199">
        <w:rPr>
          <w:color w:val="000000"/>
        </w:rPr>
        <w:t>:</w:t>
      </w:r>
      <w:r w:rsidR="00540F92">
        <w:rPr>
          <w:color w:val="000000"/>
        </w:rPr>
        <w:t xml:space="preserve"> 529–</w:t>
      </w:r>
      <w:r w:rsidR="00540F92" w:rsidRPr="00540F92">
        <w:rPr>
          <w:color w:val="000000"/>
        </w:rPr>
        <w:t>63</w:t>
      </w:r>
      <w:r w:rsidRPr="009C1199">
        <w:rPr>
          <w:color w:val="000000"/>
        </w:rPr>
        <w:t>.</w:t>
      </w:r>
    </w:p>
    <w:p w14:paraId="7F3C0144" w14:textId="5F62F616" w:rsidR="002D7707" w:rsidRPr="009C1199" w:rsidRDefault="002D7707" w:rsidP="00BD2B9F">
      <w:pPr>
        <w:pStyle w:val="NormalWeb"/>
        <w:ind w:left="450" w:hanging="450"/>
        <w:jc w:val="both"/>
        <w:rPr>
          <w:color w:val="000000"/>
        </w:rPr>
      </w:pPr>
      <w:r w:rsidRPr="009C1199">
        <w:rPr>
          <w:color w:val="000000"/>
        </w:rPr>
        <w:t>Blais, André. 2000.</w:t>
      </w:r>
      <w:r w:rsidRPr="009C1199">
        <w:rPr>
          <w:rStyle w:val="apple-converted-space"/>
          <w:color w:val="000000"/>
        </w:rPr>
        <w:t> </w:t>
      </w:r>
      <w:r w:rsidRPr="009C1199">
        <w:rPr>
          <w:i/>
          <w:iCs/>
          <w:color w:val="000000"/>
        </w:rPr>
        <w:t xml:space="preserve">To Vote </w:t>
      </w:r>
      <w:r w:rsidR="003C1320" w:rsidRPr="009C1199">
        <w:rPr>
          <w:i/>
          <w:iCs/>
          <w:color w:val="000000"/>
        </w:rPr>
        <w:t>or</w:t>
      </w:r>
      <w:r w:rsidRPr="009C1199">
        <w:rPr>
          <w:i/>
          <w:iCs/>
          <w:color w:val="000000"/>
        </w:rPr>
        <w:t xml:space="preserve"> Not to Vote: The Merits and Limits of Rational Choice Theory</w:t>
      </w:r>
      <w:r w:rsidRPr="009C1199">
        <w:rPr>
          <w:color w:val="000000"/>
        </w:rPr>
        <w:t>. Pittsburgh</w:t>
      </w:r>
      <w:r w:rsidR="00FD2BAA">
        <w:rPr>
          <w:color w:val="000000"/>
        </w:rPr>
        <w:t>, PA</w:t>
      </w:r>
      <w:r w:rsidRPr="009C1199">
        <w:rPr>
          <w:color w:val="000000"/>
        </w:rPr>
        <w:t>: University of Pittsburgh Press.</w:t>
      </w:r>
    </w:p>
    <w:p w14:paraId="3C09854A" w14:textId="66A5A727" w:rsidR="002D7707" w:rsidRPr="009C1199" w:rsidRDefault="002D7707" w:rsidP="00BD2B9F">
      <w:pPr>
        <w:pStyle w:val="NormalWeb"/>
        <w:ind w:left="450" w:hanging="450"/>
        <w:jc w:val="both"/>
        <w:rPr>
          <w:color w:val="000000"/>
        </w:rPr>
      </w:pPr>
      <w:r w:rsidRPr="009C1199">
        <w:rPr>
          <w:color w:val="000000"/>
        </w:rPr>
        <w:t>Blundell, Richard, and Stephen Bond. 1998. "Initial Conditions and Moment Restrictions in Dynamic Panel Data Models."</w:t>
      </w:r>
      <w:r w:rsidRPr="009C1199">
        <w:rPr>
          <w:rStyle w:val="apple-converted-space"/>
          <w:color w:val="000000"/>
        </w:rPr>
        <w:t> </w:t>
      </w:r>
      <w:r w:rsidRPr="009C1199">
        <w:rPr>
          <w:i/>
          <w:iCs/>
          <w:color w:val="000000"/>
        </w:rPr>
        <w:t>Journal of Econometrics</w:t>
      </w:r>
      <w:r w:rsidRPr="009C1199">
        <w:rPr>
          <w:rStyle w:val="apple-converted-space"/>
          <w:color w:val="000000"/>
        </w:rPr>
        <w:t> </w:t>
      </w:r>
      <w:r w:rsidRPr="009C1199">
        <w:rPr>
          <w:color w:val="000000"/>
        </w:rPr>
        <w:t>87(1):</w:t>
      </w:r>
      <w:r w:rsidR="00525B62">
        <w:rPr>
          <w:color w:val="000000"/>
        </w:rPr>
        <w:t xml:space="preserve"> </w:t>
      </w:r>
      <w:r w:rsidRPr="009C1199">
        <w:rPr>
          <w:color w:val="000000"/>
        </w:rPr>
        <w:t>115-43.</w:t>
      </w:r>
    </w:p>
    <w:p w14:paraId="544B3DD3" w14:textId="7C0A8265" w:rsidR="002D7707" w:rsidRPr="009C1199" w:rsidRDefault="002D7707" w:rsidP="00BD2B9F">
      <w:pPr>
        <w:pStyle w:val="NormalWeb"/>
        <w:ind w:left="450" w:hanging="450"/>
        <w:jc w:val="both"/>
        <w:rPr>
          <w:color w:val="000000"/>
        </w:rPr>
      </w:pPr>
      <w:r w:rsidRPr="009C1199">
        <w:rPr>
          <w:color w:val="000000"/>
        </w:rPr>
        <w:lastRenderedPageBreak/>
        <w:t>Boix, Carles. 2001. "Democracy, Development and the Public Sector."</w:t>
      </w:r>
      <w:r w:rsidRPr="009C1199">
        <w:rPr>
          <w:rStyle w:val="apple-converted-space"/>
          <w:color w:val="000000"/>
        </w:rPr>
        <w:t> </w:t>
      </w:r>
      <w:r w:rsidRPr="009C1199">
        <w:rPr>
          <w:i/>
          <w:iCs/>
          <w:color w:val="000000"/>
        </w:rPr>
        <w:t>American Journal of Political Science</w:t>
      </w:r>
      <w:r w:rsidRPr="009C1199">
        <w:rPr>
          <w:rStyle w:val="apple-converted-space"/>
          <w:color w:val="000000"/>
        </w:rPr>
        <w:t> </w:t>
      </w:r>
      <w:r w:rsidRPr="009C1199">
        <w:rPr>
          <w:color w:val="000000"/>
        </w:rPr>
        <w:t>45(1):</w:t>
      </w:r>
      <w:r w:rsidR="00525B62">
        <w:rPr>
          <w:color w:val="000000"/>
        </w:rPr>
        <w:t xml:space="preserve"> </w:t>
      </w:r>
      <w:r w:rsidRPr="009C1199">
        <w:rPr>
          <w:color w:val="000000"/>
        </w:rPr>
        <w:t>1-17.</w:t>
      </w:r>
    </w:p>
    <w:p w14:paraId="658FAE9A" w14:textId="3F3522A6" w:rsidR="002D7707" w:rsidRPr="009C1199" w:rsidRDefault="00FD2BAA" w:rsidP="00BD2B9F">
      <w:pPr>
        <w:pStyle w:val="NormalWeb"/>
        <w:ind w:left="450" w:hanging="450"/>
        <w:jc w:val="both"/>
        <w:rPr>
          <w:color w:val="000000"/>
        </w:rPr>
      </w:pPr>
      <w:r w:rsidRPr="009C1199">
        <w:rPr>
          <w:color w:val="000000"/>
        </w:rPr>
        <w:t>Boix, Carles</w:t>
      </w:r>
      <w:r>
        <w:rPr>
          <w:color w:val="000000"/>
        </w:rPr>
        <w:t xml:space="preserve">. </w:t>
      </w:r>
      <w:r w:rsidR="002D7707" w:rsidRPr="009C1199">
        <w:rPr>
          <w:color w:val="000000"/>
        </w:rPr>
        <w:t>2003.</w:t>
      </w:r>
      <w:r w:rsidR="002D7707" w:rsidRPr="009C1199">
        <w:rPr>
          <w:rStyle w:val="apple-converted-space"/>
          <w:color w:val="000000"/>
        </w:rPr>
        <w:t> </w:t>
      </w:r>
      <w:r w:rsidR="002D7707" w:rsidRPr="009C1199">
        <w:rPr>
          <w:i/>
          <w:iCs/>
          <w:color w:val="000000"/>
        </w:rPr>
        <w:t>Democracy and Redistribution</w:t>
      </w:r>
      <w:r w:rsidR="002D7707" w:rsidRPr="009C1199">
        <w:rPr>
          <w:color w:val="000000"/>
        </w:rPr>
        <w:t>. Cambridge; New York: Cambridge University Press.</w:t>
      </w:r>
    </w:p>
    <w:p w14:paraId="542A39D0" w14:textId="3A3946DE" w:rsidR="002D7707" w:rsidRDefault="002D7707" w:rsidP="00BD2B9F">
      <w:pPr>
        <w:pStyle w:val="NormalWeb"/>
        <w:ind w:left="450" w:hanging="450"/>
        <w:jc w:val="both"/>
        <w:rPr>
          <w:color w:val="000000"/>
        </w:rPr>
      </w:pPr>
      <w:r w:rsidRPr="009C1199">
        <w:rPr>
          <w:color w:val="000000"/>
        </w:rPr>
        <w:t>Bradley, David, Evelyne Huber, Stephanie Moller, Francois Nielsen, and John Stephens. 2003. "Distribution and Redistribution in Postindustrial Democracies."</w:t>
      </w:r>
      <w:r w:rsidRPr="009C1199">
        <w:rPr>
          <w:rStyle w:val="apple-converted-space"/>
          <w:color w:val="000000"/>
        </w:rPr>
        <w:t> </w:t>
      </w:r>
      <w:r w:rsidRPr="009C1199">
        <w:rPr>
          <w:i/>
          <w:iCs/>
          <w:color w:val="000000"/>
        </w:rPr>
        <w:t>World Politics</w:t>
      </w:r>
      <w:r w:rsidRPr="009C1199">
        <w:rPr>
          <w:rStyle w:val="apple-converted-space"/>
          <w:color w:val="000000"/>
        </w:rPr>
        <w:t> </w:t>
      </w:r>
      <w:r>
        <w:rPr>
          <w:color w:val="000000"/>
        </w:rPr>
        <w:t>55(4)</w:t>
      </w:r>
      <w:r w:rsidRPr="009C1199">
        <w:rPr>
          <w:color w:val="000000"/>
        </w:rPr>
        <w:t>:</w:t>
      </w:r>
      <w:r w:rsidR="00525B62">
        <w:rPr>
          <w:color w:val="000000"/>
        </w:rPr>
        <w:t xml:space="preserve"> </w:t>
      </w:r>
      <w:r w:rsidRPr="009C1199">
        <w:rPr>
          <w:color w:val="000000"/>
        </w:rPr>
        <w:t>193-228.</w:t>
      </w:r>
    </w:p>
    <w:p w14:paraId="4C2AA68B" w14:textId="00B37A03" w:rsidR="002D7707" w:rsidRPr="009C1199" w:rsidRDefault="002D7707" w:rsidP="00BD2B9F">
      <w:pPr>
        <w:pStyle w:val="NormalWeb"/>
        <w:ind w:left="450" w:hanging="450"/>
        <w:jc w:val="both"/>
        <w:rPr>
          <w:color w:val="000000"/>
        </w:rPr>
      </w:pPr>
      <w:r w:rsidRPr="009C1199">
        <w:rPr>
          <w:color w:val="000000"/>
        </w:rPr>
        <w:t>Cook, Linda J. 2010. "Eastern Europe and Russia." In</w:t>
      </w:r>
      <w:r w:rsidRPr="009C1199">
        <w:rPr>
          <w:rStyle w:val="apple-converted-space"/>
          <w:color w:val="000000"/>
        </w:rPr>
        <w:t> </w:t>
      </w:r>
      <w:r w:rsidRPr="009C1199">
        <w:rPr>
          <w:i/>
          <w:iCs/>
          <w:color w:val="000000"/>
        </w:rPr>
        <w:t>The Oxford Handbook of the Welfare State,</w:t>
      </w:r>
      <w:r w:rsidRPr="009C1199">
        <w:rPr>
          <w:rStyle w:val="apple-converted-space"/>
          <w:color w:val="000000"/>
        </w:rPr>
        <w:t> </w:t>
      </w:r>
      <w:r w:rsidRPr="009C1199">
        <w:rPr>
          <w:color w:val="000000"/>
        </w:rPr>
        <w:t>ed</w:t>
      </w:r>
      <w:r w:rsidR="00A5728D">
        <w:rPr>
          <w:color w:val="000000"/>
        </w:rPr>
        <w:t>ited by</w:t>
      </w:r>
      <w:r w:rsidRPr="009C1199">
        <w:rPr>
          <w:color w:val="000000"/>
        </w:rPr>
        <w:t xml:space="preserve"> Francis G. Castles, Stephan Leibfried, Jane Lewis, Herbert Obinger and Christopher Pierson</w:t>
      </w:r>
      <w:r w:rsidR="00A5728D">
        <w:rPr>
          <w:color w:val="000000"/>
        </w:rPr>
        <w:t>, 671-</w:t>
      </w:r>
      <w:r w:rsidR="00A5728D" w:rsidRPr="009C1199">
        <w:rPr>
          <w:color w:val="000000"/>
        </w:rPr>
        <w:t>86</w:t>
      </w:r>
      <w:r w:rsidRPr="009C1199">
        <w:rPr>
          <w:color w:val="000000"/>
        </w:rPr>
        <w:t>. Oxford</w:t>
      </w:r>
      <w:r w:rsidR="00FD2BAA">
        <w:rPr>
          <w:color w:val="000000"/>
        </w:rPr>
        <w:t>, U.K.</w:t>
      </w:r>
      <w:r w:rsidRPr="009C1199">
        <w:rPr>
          <w:color w:val="000000"/>
        </w:rPr>
        <w:t>: Oxford University Press.</w:t>
      </w:r>
    </w:p>
    <w:p w14:paraId="1B441237" w14:textId="426074F6" w:rsidR="002D7707" w:rsidRPr="009C1199" w:rsidRDefault="002D7707" w:rsidP="00BD2B9F">
      <w:pPr>
        <w:pStyle w:val="NormalWeb"/>
        <w:ind w:left="450" w:hanging="450"/>
        <w:jc w:val="both"/>
        <w:rPr>
          <w:color w:val="000000"/>
        </w:rPr>
      </w:pPr>
      <w:r w:rsidRPr="009C1199">
        <w:rPr>
          <w:color w:val="000000"/>
        </w:rPr>
        <w:t>De Mello, Luiz, and Erwin R. Tiongson. 2006. "Income Inequality and Redistributive Government Spending."</w:t>
      </w:r>
      <w:r w:rsidRPr="009C1199">
        <w:rPr>
          <w:rStyle w:val="apple-converted-space"/>
          <w:color w:val="000000"/>
        </w:rPr>
        <w:t> </w:t>
      </w:r>
      <w:r w:rsidRPr="009C1199">
        <w:rPr>
          <w:i/>
          <w:iCs/>
          <w:color w:val="000000"/>
        </w:rPr>
        <w:t>Public Finance Review</w:t>
      </w:r>
      <w:r w:rsidRPr="009C1199">
        <w:rPr>
          <w:rStyle w:val="apple-converted-space"/>
          <w:color w:val="000000"/>
        </w:rPr>
        <w:t> </w:t>
      </w:r>
      <w:r w:rsidRPr="009C1199">
        <w:rPr>
          <w:color w:val="000000"/>
        </w:rPr>
        <w:t>34(3):</w:t>
      </w:r>
      <w:r w:rsidR="00525B62">
        <w:rPr>
          <w:color w:val="000000"/>
        </w:rPr>
        <w:t xml:space="preserve"> </w:t>
      </w:r>
      <w:r w:rsidRPr="009C1199">
        <w:rPr>
          <w:color w:val="000000"/>
        </w:rPr>
        <w:t>282-305.</w:t>
      </w:r>
    </w:p>
    <w:p w14:paraId="1D7B9B27" w14:textId="0973D1B2" w:rsidR="002D7707" w:rsidRPr="009C1199" w:rsidRDefault="002D7707" w:rsidP="00BD2B9F">
      <w:pPr>
        <w:pStyle w:val="NormalWeb"/>
        <w:ind w:left="450" w:hanging="450"/>
        <w:jc w:val="both"/>
        <w:rPr>
          <w:color w:val="000000"/>
        </w:rPr>
      </w:pPr>
      <w:r w:rsidRPr="009C1199">
        <w:rPr>
          <w:color w:val="000000"/>
        </w:rPr>
        <w:t>DeBoef, Suzanna, and Luke Keele. 2008. "Taking Time Seriously."</w:t>
      </w:r>
      <w:r w:rsidRPr="009C1199">
        <w:rPr>
          <w:rStyle w:val="apple-converted-space"/>
          <w:color w:val="000000"/>
        </w:rPr>
        <w:t> </w:t>
      </w:r>
      <w:r w:rsidRPr="009C1199">
        <w:rPr>
          <w:i/>
          <w:iCs/>
          <w:color w:val="000000"/>
        </w:rPr>
        <w:t>American Journal of Political Science</w:t>
      </w:r>
      <w:r w:rsidRPr="009C1199">
        <w:rPr>
          <w:rStyle w:val="apple-converted-space"/>
          <w:color w:val="000000"/>
        </w:rPr>
        <w:t> </w:t>
      </w:r>
      <w:r w:rsidRPr="009C1199">
        <w:rPr>
          <w:color w:val="000000"/>
        </w:rPr>
        <w:t>52(1):</w:t>
      </w:r>
      <w:r w:rsidR="00525B62">
        <w:rPr>
          <w:color w:val="000000"/>
        </w:rPr>
        <w:t xml:space="preserve"> </w:t>
      </w:r>
      <w:r w:rsidRPr="009C1199">
        <w:rPr>
          <w:color w:val="000000"/>
        </w:rPr>
        <w:t>184-200.</w:t>
      </w:r>
    </w:p>
    <w:p w14:paraId="29FBF279" w14:textId="4AA79BF1" w:rsidR="00806080" w:rsidRDefault="00806080" w:rsidP="00BD2B9F">
      <w:pPr>
        <w:pStyle w:val="NormalWeb"/>
        <w:ind w:left="450" w:hanging="450"/>
        <w:jc w:val="both"/>
        <w:rPr>
          <w:color w:val="000000"/>
        </w:rPr>
      </w:pPr>
      <w:r>
        <w:t>Enns, Peter K., Nathan J.</w:t>
      </w:r>
      <w:r w:rsidR="00FD2BAA">
        <w:t xml:space="preserve"> Kelly</w:t>
      </w:r>
      <w:r>
        <w:t>,</w:t>
      </w:r>
      <w:r w:rsidR="00FD2BAA" w:rsidDel="00FD2BAA">
        <w:t xml:space="preserve"> </w:t>
      </w:r>
      <w:r>
        <w:t>Takaaki</w:t>
      </w:r>
      <w:r w:rsidR="00FD2BAA">
        <w:t xml:space="preserve"> Masaki,</w:t>
      </w:r>
      <w:r>
        <w:t xml:space="preserve"> and Patrick C. Wohlfarth. 2016. “Don’t Jettison the General Error Correction Model Just Yet: A Practical Guide to Avoiding Spurious Regression with the GECM.” </w:t>
      </w:r>
      <w:r>
        <w:rPr>
          <w:i/>
        </w:rPr>
        <w:t>Research and Politics</w:t>
      </w:r>
      <w:r>
        <w:t xml:space="preserve"> </w:t>
      </w:r>
      <w:r w:rsidR="00D04580">
        <w:t>3(2)</w:t>
      </w:r>
      <w:r>
        <w:t xml:space="preserve">: 1–13. </w:t>
      </w:r>
    </w:p>
    <w:p w14:paraId="4191D47D" w14:textId="3D834F03" w:rsidR="002D7707" w:rsidRPr="009C1199" w:rsidRDefault="002D7707" w:rsidP="00BD2B9F">
      <w:pPr>
        <w:pStyle w:val="NormalWeb"/>
        <w:ind w:left="450" w:hanging="450"/>
        <w:jc w:val="both"/>
        <w:rPr>
          <w:color w:val="000000"/>
        </w:rPr>
      </w:pPr>
      <w:r w:rsidRPr="009C1199">
        <w:rPr>
          <w:color w:val="000000"/>
        </w:rPr>
        <w:t>Ferrera, Maurizio. 2010. "The South European Countries." In</w:t>
      </w:r>
      <w:r w:rsidRPr="009C1199">
        <w:rPr>
          <w:rStyle w:val="apple-converted-space"/>
          <w:color w:val="000000"/>
        </w:rPr>
        <w:t> </w:t>
      </w:r>
      <w:r w:rsidRPr="009C1199">
        <w:rPr>
          <w:i/>
          <w:iCs/>
          <w:color w:val="000000"/>
        </w:rPr>
        <w:t>The Oxford Handbook of the Welfare State,</w:t>
      </w:r>
      <w:r w:rsidRPr="009C1199">
        <w:rPr>
          <w:rStyle w:val="apple-converted-space"/>
          <w:color w:val="000000"/>
        </w:rPr>
        <w:t> </w:t>
      </w:r>
      <w:r w:rsidRPr="009C1199">
        <w:rPr>
          <w:color w:val="000000"/>
        </w:rPr>
        <w:t>ed</w:t>
      </w:r>
      <w:r w:rsidR="00A5728D">
        <w:rPr>
          <w:color w:val="000000"/>
        </w:rPr>
        <w:t>ited by</w:t>
      </w:r>
      <w:r w:rsidRPr="009C1199">
        <w:rPr>
          <w:color w:val="000000"/>
        </w:rPr>
        <w:t xml:space="preserve"> Francis G. Castles, Stephan Leibfried, Jane Lewis, Herbert Obinger and Christopher Pierson</w:t>
      </w:r>
      <w:r w:rsidR="00A5728D">
        <w:rPr>
          <w:color w:val="000000"/>
        </w:rPr>
        <w:t>, 616-</w:t>
      </w:r>
      <w:r w:rsidR="00A5728D" w:rsidRPr="009C1199">
        <w:rPr>
          <w:color w:val="000000"/>
        </w:rPr>
        <w:t>29</w:t>
      </w:r>
      <w:r w:rsidRPr="009C1199">
        <w:rPr>
          <w:color w:val="000000"/>
        </w:rPr>
        <w:t>. Oxford</w:t>
      </w:r>
      <w:r w:rsidR="00FD2BAA">
        <w:rPr>
          <w:color w:val="000000"/>
        </w:rPr>
        <w:t>, U.K.</w:t>
      </w:r>
      <w:r w:rsidRPr="009C1199">
        <w:rPr>
          <w:color w:val="000000"/>
        </w:rPr>
        <w:t>: Oxford University Press.</w:t>
      </w:r>
    </w:p>
    <w:p w14:paraId="2F38757C" w14:textId="3B40425A" w:rsidR="007250C4" w:rsidRPr="00B419C7" w:rsidRDefault="007250C4" w:rsidP="00BD2B9F">
      <w:pPr>
        <w:pStyle w:val="NormalWeb"/>
        <w:ind w:left="450" w:hanging="450"/>
        <w:jc w:val="both"/>
        <w:rPr>
          <w:color w:val="000000"/>
        </w:rPr>
      </w:pPr>
      <w:r>
        <w:rPr>
          <w:color w:val="000000"/>
        </w:rPr>
        <w:t>Forbes, Kristin J. 2000. “A Reassessment of the Relationship between Inequality and Growth</w:t>
      </w:r>
      <w:r w:rsidR="00471641">
        <w:rPr>
          <w:color w:val="000000"/>
        </w:rPr>
        <w:t xml:space="preserve">.” </w:t>
      </w:r>
      <w:r w:rsidR="00471641">
        <w:rPr>
          <w:i/>
          <w:color w:val="000000"/>
        </w:rPr>
        <w:t>The American Economic Review</w:t>
      </w:r>
      <w:r w:rsidR="00471641">
        <w:rPr>
          <w:color w:val="000000"/>
        </w:rPr>
        <w:t xml:space="preserve"> 90(4): 869-87.</w:t>
      </w:r>
    </w:p>
    <w:p w14:paraId="129192A9" w14:textId="3A24C222" w:rsidR="002D7707" w:rsidRPr="009C1199" w:rsidRDefault="002D7707" w:rsidP="00BD2B9F">
      <w:pPr>
        <w:pStyle w:val="NormalWeb"/>
        <w:ind w:left="450" w:hanging="450"/>
        <w:jc w:val="both"/>
        <w:rPr>
          <w:color w:val="000000"/>
        </w:rPr>
      </w:pPr>
      <w:r w:rsidRPr="009C1199">
        <w:rPr>
          <w:color w:val="000000"/>
        </w:rPr>
        <w:t>Franzese Jr., Robert J. 2002.</w:t>
      </w:r>
      <w:r w:rsidRPr="009C1199">
        <w:rPr>
          <w:rStyle w:val="apple-converted-space"/>
          <w:color w:val="000000"/>
        </w:rPr>
        <w:t> </w:t>
      </w:r>
      <w:r w:rsidRPr="009C1199">
        <w:rPr>
          <w:i/>
          <w:iCs/>
          <w:color w:val="000000"/>
        </w:rPr>
        <w:t>Macroeconomic Policies of Developed Democracies</w:t>
      </w:r>
      <w:r w:rsidRPr="009C1199">
        <w:rPr>
          <w:color w:val="000000"/>
        </w:rPr>
        <w:t>. Cambridge</w:t>
      </w:r>
      <w:r w:rsidR="00FD2BAA">
        <w:rPr>
          <w:color w:val="000000"/>
        </w:rPr>
        <w:t>, U.K.</w:t>
      </w:r>
      <w:r w:rsidRPr="009C1199">
        <w:rPr>
          <w:color w:val="000000"/>
        </w:rPr>
        <w:t>: Cambridge University Press.</w:t>
      </w:r>
    </w:p>
    <w:p w14:paraId="75B4094D" w14:textId="686790B6" w:rsidR="002D7707" w:rsidRPr="009C1199" w:rsidRDefault="002D7707" w:rsidP="00BD2B9F">
      <w:pPr>
        <w:pStyle w:val="NormalWeb"/>
        <w:ind w:left="450" w:hanging="450"/>
        <w:jc w:val="both"/>
        <w:rPr>
          <w:color w:val="000000"/>
        </w:rPr>
      </w:pPr>
      <w:r w:rsidRPr="009C1199">
        <w:rPr>
          <w:color w:val="000000"/>
        </w:rPr>
        <w:t>Garrett, Geoffrey. 1998.</w:t>
      </w:r>
      <w:r w:rsidRPr="009C1199">
        <w:rPr>
          <w:rStyle w:val="apple-converted-space"/>
          <w:color w:val="000000"/>
        </w:rPr>
        <w:t> </w:t>
      </w:r>
      <w:r w:rsidRPr="009C1199">
        <w:rPr>
          <w:i/>
          <w:iCs/>
          <w:color w:val="000000"/>
        </w:rPr>
        <w:t>Partisan Politics in the Global Economy</w:t>
      </w:r>
      <w:r w:rsidRPr="009C1199">
        <w:rPr>
          <w:color w:val="000000"/>
        </w:rPr>
        <w:t>. Cambridge</w:t>
      </w:r>
      <w:r w:rsidR="00FD2BAA">
        <w:rPr>
          <w:color w:val="000000"/>
        </w:rPr>
        <w:t>, U.K.</w:t>
      </w:r>
      <w:r w:rsidRPr="009C1199">
        <w:rPr>
          <w:color w:val="000000"/>
        </w:rPr>
        <w:t>: Cambridge University Press.</w:t>
      </w:r>
    </w:p>
    <w:p w14:paraId="16D5B9C0" w14:textId="68277546" w:rsidR="002D7707" w:rsidRPr="009C1199" w:rsidRDefault="002D7707" w:rsidP="00BD2B9F">
      <w:pPr>
        <w:pStyle w:val="NormalWeb"/>
        <w:ind w:left="450" w:hanging="450"/>
        <w:jc w:val="both"/>
        <w:rPr>
          <w:color w:val="000000"/>
        </w:rPr>
      </w:pPr>
      <w:r w:rsidRPr="009C1199">
        <w:rPr>
          <w:color w:val="000000"/>
        </w:rPr>
        <w:t>Gerring, John, and Strom C. Thacker. 2008.</w:t>
      </w:r>
      <w:r w:rsidRPr="009C1199">
        <w:rPr>
          <w:rStyle w:val="apple-converted-space"/>
          <w:color w:val="000000"/>
        </w:rPr>
        <w:t> </w:t>
      </w:r>
      <w:r w:rsidRPr="009C1199">
        <w:rPr>
          <w:i/>
          <w:iCs/>
          <w:color w:val="000000"/>
        </w:rPr>
        <w:t>A Centripetal Theory of Democratic Governance</w:t>
      </w:r>
      <w:r w:rsidRPr="009C1199">
        <w:rPr>
          <w:color w:val="000000"/>
        </w:rPr>
        <w:t>. Cambridge</w:t>
      </w:r>
      <w:r w:rsidR="00FD2BAA">
        <w:rPr>
          <w:color w:val="000000"/>
        </w:rPr>
        <w:t>, U.K.</w:t>
      </w:r>
      <w:r w:rsidRPr="009C1199">
        <w:rPr>
          <w:color w:val="000000"/>
        </w:rPr>
        <w:t>: Cambridge University Press.</w:t>
      </w:r>
    </w:p>
    <w:p w14:paraId="2043A815" w14:textId="4CCAF27E" w:rsidR="002D7707" w:rsidRPr="009C1199" w:rsidRDefault="002D7707" w:rsidP="00BD2B9F">
      <w:pPr>
        <w:pStyle w:val="NormalWeb"/>
        <w:ind w:left="450" w:hanging="450"/>
        <w:jc w:val="both"/>
        <w:rPr>
          <w:color w:val="000000"/>
        </w:rPr>
      </w:pPr>
      <w:r w:rsidRPr="009C1199">
        <w:rPr>
          <w:color w:val="000000"/>
        </w:rPr>
        <w:t>Glaeser, Edward L. 2006. "Inequality." In</w:t>
      </w:r>
      <w:r w:rsidRPr="009C1199">
        <w:rPr>
          <w:rStyle w:val="apple-converted-space"/>
          <w:color w:val="000000"/>
        </w:rPr>
        <w:t> </w:t>
      </w:r>
      <w:r w:rsidRPr="009C1199">
        <w:rPr>
          <w:i/>
          <w:iCs/>
          <w:color w:val="000000"/>
        </w:rPr>
        <w:t>The Oxford Handbook of Political Economy,</w:t>
      </w:r>
      <w:r w:rsidRPr="009C1199">
        <w:rPr>
          <w:rStyle w:val="apple-converted-space"/>
          <w:color w:val="000000"/>
        </w:rPr>
        <w:t> </w:t>
      </w:r>
      <w:r w:rsidRPr="009C1199">
        <w:rPr>
          <w:color w:val="000000"/>
        </w:rPr>
        <w:t>ed</w:t>
      </w:r>
      <w:r w:rsidR="00A5728D">
        <w:rPr>
          <w:color w:val="000000"/>
        </w:rPr>
        <w:t>ited by</w:t>
      </w:r>
      <w:r w:rsidRPr="009C1199">
        <w:rPr>
          <w:color w:val="000000"/>
        </w:rPr>
        <w:t xml:space="preserve"> Donald A. Wittman</w:t>
      </w:r>
      <w:r w:rsidR="00A5728D">
        <w:rPr>
          <w:color w:val="000000"/>
        </w:rPr>
        <w:t xml:space="preserve"> and</w:t>
      </w:r>
      <w:r w:rsidRPr="009C1199">
        <w:rPr>
          <w:color w:val="000000"/>
        </w:rPr>
        <w:t xml:space="preserve"> Barry R. Weingast</w:t>
      </w:r>
      <w:r w:rsidR="00A5728D">
        <w:rPr>
          <w:color w:val="000000"/>
        </w:rPr>
        <w:t>, 624-41</w:t>
      </w:r>
      <w:r w:rsidRPr="009C1199">
        <w:rPr>
          <w:color w:val="000000"/>
        </w:rPr>
        <w:t>. Oxford</w:t>
      </w:r>
      <w:r w:rsidR="00FD2BAA">
        <w:rPr>
          <w:color w:val="000000"/>
        </w:rPr>
        <w:t>, U.K.</w:t>
      </w:r>
      <w:r w:rsidRPr="009C1199">
        <w:rPr>
          <w:color w:val="000000"/>
        </w:rPr>
        <w:t>: Oxford University Press.</w:t>
      </w:r>
    </w:p>
    <w:p w14:paraId="6F513F60" w14:textId="2B3E4260" w:rsidR="002D7707" w:rsidRPr="009C1199" w:rsidRDefault="002D7707" w:rsidP="00BD2B9F">
      <w:pPr>
        <w:pStyle w:val="NormalWeb"/>
        <w:ind w:left="450" w:hanging="450"/>
        <w:jc w:val="both"/>
        <w:rPr>
          <w:color w:val="000000"/>
        </w:rPr>
      </w:pPr>
      <w:r w:rsidRPr="009C1199">
        <w:rPr>
          <w:color w:val="000000"/>
        </w:rPr>
        <w:t>Ha, Eunyoung. 2008. "Globalization, Veto Players, and Welfare Spending."</w:t>
      </w:r>
      <w:r w:rsidRPr="009C1199">
        <w:rPr>
          <w:rStyle w:val="apple-converted-space"/>
          <w:color w:val="000000"/>
        </w:rPr>
        <w:t> </w:t>
      </w:r>
      <w:r w:rsidRPr="009C1199">
        <w:rPr>
          <w:i/>
          <w:iCs/>
          <w:color w:val="000000"/>
        </w:rPr>
        <w:t>Comparative Political Studies</w:t>
      </w:r>
      <w:r w:rsidRPr="009C1199">
        <w:rPr>
          <w:rStyle w:val="apple-converted-space"/>
          <w:color w:val="000000"/>
        </w:rPr>
        <w:t> </w:t>
      </w:r>
      <w:r w:rsidRPr="009C1199">
        <w:rPr>
          <w:color w:val="000000"/>
        </w:rPr>
        <w:t>41(6):</w:t>
      </w:r>
      <w:r w:rsidR="00525B62">
        <w:rPr>
          <w:color w:val="000000"/>
        </w:rPr>
        <w:t xml:space="preserve"> </w:t>
      </w:r>
      <w:r w:rsidRPr="009C1199">
        <w:rPr>
          <w:color w:val="000000"/>
        </w:rPr>
        <w:t>783-813.</w:t>
      </w:r>
    </w:p>
    <w:p w14:paraId="1AF9421C" w14:textId="0E8521E3" w:rsidR="002D7707" w:rsidRPr="009C1199" w:rsidRDefault="00FD2BAA" w:rsidP="00BD2B9F">
      <w:pPr>
        <w:pStyle w:val="NormalWeb"/>
        <w:ind w:left="450" w:hanging="450"/>
        <w:jc w:val="both"/>
        <w:rPr>
          <w:color w:val="000000"/>
        </w:rPr>
      </w:pPr>
      <w:r w:rsidRPr="009C1199">
        <w:rPr>
          <w:color w:val="000000"/>
        </w:rPr>
        <w:lastRenderedPageBreak/>
        <w:t>Ha, Eunyoung</w:t>
      </w:r>
      <w:r w:rsidR="002D7707" w:rsidRPr="009C1199">
        <w:rPr>
          <w:color w:val="000000"/>
        </w:rPr>
        <w:t>. 2012. "Globalization, Government Ideology, and Income Inequality in Developing Countries”</w:t>
      </w:r>
      <w:r w:rsidR="002D7707" w:rsidRPr="009C1199">
        <w:rPr>
          <w:rStyle w:val="apple-converted-space"/>
          <w:color w:val="000000"/>
        </w:rPr>
        <w:t> </w:t>
      </w:r>
      <w:r w:rsidR="002D7707" w:rsidRPr="009C1199">
        <w:rPr>
          <w:i/>
          <w:iCs/>
          <w:color w:val="000000"/>
        </w:rPr>
        <w:t>Journal of Politics</w:t>
      </w:r>
      <w:r w:rsidR="002D7707" w:rsidRPr="009C1199">
        <w:rPr>
          <w:rStyle w:val="apple-converted-space"/>
          <w:color w:val="000000"/>
        </w:rPr>
        <w:t> </w:t>
      </w:r>
      <w:r w:rsidR="002D7707" w:rsidRPr="009C1199">
        <w:rPr>
          <w:color w:val="000000"/>
        </w:rPr>
        <w:t>74(2):</w:t>
      </w:r>
      <w:r w:rsidR="00525B62">
        <w:rPr>
          <w:color w:val="000000"/>
        </w:rPr>
        <w:t xml:space="preserve"> </w:t>
      </w:r>
      <w:r w:rsidR="002D7707" w:rsidRPr="009C1199">
        <w:rPr>
          <w:color w:val="000000"/>
        </w:rPr>
        <w:t>541-57.</w:t>
      </w:r>
    </w:p>
    <w:p w14:paraId="6769E5F1" w14:textId="77777777" w:rsidR="002D7707" w:rsidRPr="009C1199" w:rsidRDefault="002D7707" w:rsidP="00BD2B9F">
      <w:pPr>
        <w:pStyle w:val="NormalWeb"/>
        <w:ind w:left="450" w:hanging="450"/>
        <w:jc w:val="both"/>
        <w:rPr>
          <w:color w:val="000000"/>
        </w:rPr>
      </w:pPr>
      <w:r w:rsidRPr="009C1199">
        <w:rPr>
          <w:color w:val="000000"/>
        </w:rPr>
        <w:t>Haggard, Stephan, and Robert R. Kaufman. 2008.</w:t>
      </w:r>
      <w:r w:rsidRPr="009C1199">
        <w:rPr>
          <w:rStyle w:val="apple-converted-space"/>
          <w:color w:val="000000"/>
        </w:rPr>
        <w:t> </w:t>
      </w:r>
      <w:r w:rsidRPr="009C1199">
        <w:rPr>
          <w:i/>
          <w:iCs/>
          <w:color w:val="000000"/>
        </w:rPr>
        <w:t>Development, Democracy, and Welfare States: Latin America, East Asia, and Eastern Europe</w:t>
      </w:r>
      <w:r w:rsidRPr="009C1199">
        <w:rPr>
          <w:color w:val="000000"/>
        </w:rPr>
        <w:t>. Princeton: Princeton University Press.</w:t>
      </w:r>
    </w:p>
    <w:p w14:paraId="64A72A1C" w14:textId="61B78506" w:rsidR="002D7707" w:rsidRPr="009C1199" w:rsidRDefault="002D7707" w:rsidP="00BD2B9F">
      <w:pPr>
        <w:pStyle w:val="NormalWeb"/>
        <w:ind w:left="450" w:hanging="450"/>
        <w:jc w:val="both"/>
        <w:rPr>
          <w:color w:val="000000"/>
        </w:rPr>
      </w:pPr>
      <w:r w:rsidRPr="009C1199">
        <w:rPr>
          <w:color w:val="000000"/>
        </w:rPr>
        <w:t>Henisz, Witold J. 201</w:t>
      </w:r>
      <w:r>
        <w:rPr>
          <w:color w:val="000000"/>
        </w:rPr>
        <w:t>7</w:t>
      </w:r>
      <w:r w:rsidRPr="009C1199">
        <w:rPr>
          <w:color w:val="000000"/>
        </w:rPr>
        <w:t>. "The Political Constraints Index (POLCON) Dataset"</w:t>
      </w:r>
      <w:r w:rsidR="00A5728D">
        <w:rPr>
          <w:color w:val="000000"/>
        </w:rPr>
        <w:t xml:space="preserve">, last </w:t>
      </w:r>
      <w:r w:rsidR="00B05E38">
        <w:rPr>
          <w:color w:val="000000"/>
        </w:rPr>
        <w:t xml:space="preserve">modified </w:t>
      </w:r>
      <w:r w:rsidR="00B05E38" w:rsidRPr="009C1199">
        <w:rPr>
          <w:rStyle w:val="apple-converted-space"/>
          <w:color w:val="000000"/>
        </w:rPr>
        <w:t>2017</w:t>
      </w:r>
      <w:r w:rsidR="00941990">
        <w:rPr>
          <w:rStyle w:val="apple-converted-space"/>
          <w:color w:val="000000"/>
        </w:rPr>
        <w:t xml:space="preserve">, accessed March 4, 2017, </w:t>
      </w:r>
      <w:hyperlink r:id="rId14" w:history="1">
        <w:r w:rsidRPr="00E819C3">
          <w:rPr>
            <w:rStyle w:val="Hyperlink"/>
          </w:rPr>
          <w:t>https://whartonmgmt.wufoo.com/forms/political-constraint-index-polcon-dataset/</w:t>
        </w:r>
      </w:hyperlink>
      <w:r>
        <w:rPr>
          <w:rStyle w:val="apple-converted-space"/>
          <w:color w:val="000000"/>
        </w:rPr>
        <w:t>.</w:t>
      </w:r>
    </w:p>
    <w:p w14:paraId="7C077306" w14:textId="2471C01B" w:rsidR="002D7707" w:rsidRPr="009C1199" w:rsidRDefault="002D7707" w:rsidP="00BD2B9F">
      <w:pPr>
        <w:pStyle w:val="NormalWeb"/>
        <w:ind w:left="450" w:hanging="450"/>
        <w:jc w:val="both"/>
        <w:rPr>
          <w:color w:val="000000"/>
        </w:rPr>
      </w:pPr>
      <w:r w:rsidRPr="009C1199">
        <w:rPr>
          <w:color w:val="000000"/>
        </w:rPr>
        <w:t>Hicks, Alexander, and Lane Kenworthy. 2003. "Varieties of Welfare Capitalism."</w:t>
      </w:r>
      <w:r w:rsidRPr="009C1199">
        <w:rPr>
          <w:rStyle w:val="apple-converted-space"/>
          <w:color w:val="000000"/>
        </w:rPr>
        <w:t> </w:t>
      </w:r>
      <w:r w:rsidRPr="009C1199">
        <w:rPr>
          <w:i/>
          <w:iCs/>
          <w:color w:val="000000"/>
        </w:rPr>
        <w:t>Socio-Economic Review</w:t>
      </w:r>
      <w:r w:rsidRPr="009C1199">
        <w:rPr>
          <w:rStyle w:val="apple-converted-space"/>
          <w:color w:val="000000"/>
        </w:rPr>
        <w:t> </w:t>
      </w:r>
      <w:r>
        <w:rPr>
          <w:color w:val="000000"/>
        </w:rPr>
        <w:t>1(1)</w:t>
      </w:r>
      <w:r w:rsidRPr="009C1199">
        <w:rPr>
          <w:color w:val="000000"/>
        </w:rPr>
        <w:t>:</w:t>
      </w:r>
      <w:r w:rsidR="00525B62">
        <w:rPr>
          <w:color w:val="000000"/>
        </w:rPr>
        <w:t xml:space="preserve"> </w:t>
      </w:r>
      <w:r w:rsidRPr="009C1199">
        <w:rPr>
          <w:color w:val="000000"/>
        </w:rPr>
        <w:t>27-61.</w:t>
      </w:r>
    </w:p>
    <w:p w14:paraId="44D49AE0" w14:textId="77777777" w:rsidR="00CD35C3" w:rsidRPr="00CD35C3" w:rsidRDefault="00CD35C3" w:rsidP="00BD2B9F">
      <w:pPr>
        <w:pStyle w:val="NormalWeb"/>
        <w:ind w:left="450" w:hanging="450"/>
        <w:jc w:val="both"/>
        <w:rPr>
          <w:color w:val="000000"/>
        </w:rPr>
      </w:pPr>
      <w:r>
        <w:rPr>
          <w:color w:val="000000"/>
        </w:rPr>
        <w:t>Houle, Christian. “</w:t>
      </w:r>
      <w:r w:rsidRPr="00CD35C3">
        <w:rPr>
          <w:color w:val="000000"/>
        </w:rPr>
        <w:t>Inequality, ethnic diversity, and redistribution</w:t>
      </w:r>
      <w:r>
        <w:rPr>
          <w:color w:val="000000"/>
        </w:rPr>
        <w:t xml:space="preserve">”. </w:t>
      </w:r>
      <w:r w:rsidRPr="00CD35C3">
        <w:rPr>
          <w:i/>
          <w:color w:val="000000"/>
        </w:rPr>
        <w:t>Journal of Economic Inequality</w:t>
      </w:r>
      <w:r>
        <w:rPr>
          <w:color w:val="000000"/>
        </w:rPr>
        <w:t xml:space="preserve"> 15(1): 1-23.</w:t>
      </w:r>
    </w:p>
    <w:p w14:paraId="2B465A38" w14:textId="3AE39FF4" w:rsidR="002D7707" w:rsidRPr="009C1199" w:rsidRDefault="002D7707" w:rsidP="00BD2B9F">
      <w:pPr>
        <w:pStyle w:val="NormalWeb"/>
        <w:ind w:left="450" w:hanging="450"/>
        <w:jc w:val="both"/>
        <w:rPr>
          <w:color w:val="000000"/>
        </w:rPr>
      </w:pPr>
      <w:r w:rsidRPr="009C1199">
        <w:rPr>
          <w:color w:val="000000"/>
        </w:rPr>
        <w:t>Huber, Evelyne, Charles Ragin, and John D. Stephens. 1993. "Social Democracy, Christian Democracy, Constitutional Structure, and the Welfare State."</w:t>
      </w:r>
      <w:r w:rsidRPr="009C1199">
        <w:rPr>
          <w:rStyle w:val="apple-converted-space"/>
          <w:color w:val="000000"/>
        </w:rPr>
        <w:t> </w:t>
      </w:r>
      <w:r w:rsidRPr="009C1199">
        <w:rPr>
          <w:i/>
          <w:iCs/>
          <w:color w:val="000000"/>
        </w:rPr>
        <w:t>American Journal of Sociology</w:t>
      </w:r>
      <w:r w:rsidRPr="009C1199">
        <w:rPr>
          <w:rStyle w:val="apple-converted-space"/>
          <w:color w:val="000000"/>
        </w:rPr>
        <w:t> </w:t>
      </w:r>
      <w:r w:rsidRPr="009C1199">
        <w:rPr>
          <w:color w:val="000000"/>
        </w:rPr>
        <w:t>99(3):</w:t>
      </w:r>
      <w:r w:rsidR="00525B62">
        <w:rPr>
          <w:color w:val="000000"/>
        </w:rPr>
        <w:t xml:space="preserve"> </w:t>
      </w:r>
      <w:r w:rsidRPr="009C1199">
        <w:rPr>
          <w:color w:val="000000"/>
        </w:rPr>
        <w:t>711-49.</w:t>
      </w:r>
    </w:p>
    <w:p w14:paraId="44FFDDD3" w14:textId="0E3FA13B" w:rsidR="002D7707" w:rsidRPr="009C1199" w:rsidRDefault="002D7707" w:rsidP="00BD2B9F">
      <w:pPr>
        <w:pStyle w:val="NormalWeb"/>
        <w:ind w:left="450" w:hanging="450"/>
        <w:jc w:val="both"/>
        <w:rPr>
          <w:color w:val="000000"/>
        </w:rPr>
      </w:pPr>
      <w:r w:rsidRPr="009C1199">
        <w:rPr>
          <w:color w:val="000000"/>
        </w:rPr>
        <w:t>Huber, Evelyne, and John Stephens. 2012.</w:t>
      </w:r>
      <w:r w:rsidRPr="009C1199">
        <w:rPr>
          <w:rStyle w:val="apple-converted-space"/>
          <w:color w:val="000000"/>
        </w:rPr>
        <w:t> </w:t>
      </w:r>
      <w:r w:rsidRPr="009C1199">
        <w:rPr>
          <w:i/>
          <w:iCs/>
          <w:color w:val="000000"/>
        </w:rPr>
        <w:t>Democracy and the Left: Social Policy and Inequality in Latin America</w:t>
      </w:r>
      <w:r w:rsidRPr="009C1199">
        <w:rPr>
          <w:color w:val="000000"/>
        </w:rPr>
        <w:t>. Chicago</w:t>
      </w:r>
      <w:r w:rsidR="00FD2BAA">
        <w:rPr>
          <w:color w:val="000000"/>
        </w:rPr>
        <w:t>, IL</w:t>
      </w:r>
      <w:r w:rsidRPr="009C1199">
        <w:rPr>
          <w:color w:val="000000"/>
        </w:rPr>
        <w:t>: University of Chicago Press.</w:t>
      </w:r>
    </w:p>
    <w:p w14:paraId="26EDCC6F" w14:textId="497C2CCE" w:rsidR="002D7707" w:rsidRPr="009C1199" w:rsidRDefault="002D7707" w:rsidP="00BD2B9F">
      <w:pPr>
        <w:pStyle w:val="NormalWeb"/>
        <w:ind w:left="450" w:hanging="450"/>
        <w:jc w:val="both"/>
        <w:rPr>
          <w:color w:val="000000"/>
        </w:rPr>
      </w:pPr>
      <w:r w:rsidRPr="009C1199">
        <w:rPr>
          <w:color w:val="000000"/>
        </w:rPr>
        <w:t>Huber, Evelyne, and John D. Stephens. 2000. "Partisan Governance, Women's Employment, and the Social Democratic Service State."</w:t>
      </w:r>
      <w:r w:rsidRPr="009C1199">
        <w:rPr>
          <w:rStyle w:val="apple-converted-space"/>
          <w:color w:val="000000"/>
        </w:rPr>
        <w:t> </w:t>
      </w:r>
      <w:r w:rsidRPr="009C1199">
        <w:rPr>
          <w:i/>
          <w:iCs/>
          <w:color w:val="000000"/>
        </w:rPr>
        <w:t>American Sociological Review</w:t>
      </w:r>
      <w:r w:rsidRPr="009C1199">
        <w:rPr>
          <w:rStyle w:val="apple-converted-space"/>
          <w:color w:val="000000"/>
        </w:rPr>
        <w:t> </w:t>
      </w:r>
      <w:r w:rsidRPr="009C1199">
        <w:rPr>
          <w:color w:val="000000"/>
        </w:rPr>
        <w:t>65(3):</w:t>
      </w:r>
      <w:r w:rsidR="00525B62">
        <w:rPr>
          <w:color w:val="000000"/>
        </w:rPr>
        <w:t xml:space="preserve"> </w:t>
      </w:r>
      <w:r w:rsidRPr="009C1199">
        <w:rPr>
          <w:color w:val="000000"/>
        </w:rPr>
        <w:t>323-42.</w:t>
      </w:r>
    </w:p>
    <w:p w14:paraId="0BC87D91" w14:textId="3ED6D02D" w:rsidR="002D7707" w:rsidRPr="009C1199" w:rsidRDefault="00FD2BAA" w:rsidP="00BD2B9F">
      <w:pPr>
        <w:pStyle w:val="NormalWeb"/>
        <w:ind w:left="450" w:hanging="450"/>
        <w:jc w:val="both"/>
        <w:rPr>
          <w:color w:val="000000"/>
        </w:rPr>
      </w:pPr>
      <w:r w:rsidRPr="009C1199">
        <w:rPr>
          <w:color w:val="000000"/>
        </w:rPr>
        <w:t>Huber, Evelyne, and John D. Stephens</w:t>
      </w:r>
      <w:r>
        <w:rPr>
          <w:color w:val="000000"/>
        </w:rPr>
        <w:t xml:space="preserve">. </w:t>
      </w:r>
      <w:r w:rsidR="002D7707" w:rsidRPr="009C1199">
        <w:rPr>
          <w:color w:val="000000"/>
        </w:rPr>
        <w:t>2001.</w:t>
      </w:r>
      <w:r w:rsidR="002D7707" w:rsidRPr="009C1199">
        <w:rPr>
          <w:rStyle w:val="apple-converted-space"/>
          <w:color w:val="000000"/>
        </w:rPr>
        <w:t> </w:t>
      </w:r>
      <w:r w:rsidR="002D7707" w:rsidRPr="009C1199">
        <w:rPr>
          <w:i/>
          <w:iCs/>
          <w:color w:val="000000"/>
        </w:rPr>
        <w:t>Development and Crisis of the Welfare State: Parties and Policies in Global Markets</w:t>
      </w:r>
      <w:r w:rsidR="002D7707" w:rsidRPr="009C1199">
        <w:rPr>
          <w:color w:val="000000"/>
        </w:rPr>
        <w:t>. Chicago: University of Chicago Press.</w:t>
      </w:r>
    </w:p>
    <w:p w14:paraId="2585E2D8" w14:textId="3BCFBA85" w:rsidR="002D7707" w:rsidRPr="009C1199" w:rsidRDefault="00FD2BAA" w:rsidP="00BD2B9F">
      <w:pPr>
        <w:pStyle w:val="NormalWeb"/>
        <w:ind w:left="450" w:hanging="450"/>
        <w:jc w:val="both"/>
        <w:rPr>
          <w:color w:val="000000"/>
        </w:rPr>
      </w:pPr>
      <w:r w:rsidRPr="009C1199">
        <w:rPr>
          <w:color w:val="000000"/>
        </w:rPr>
        <w:t>Huber, Evelyne, and John D. Stephens</w:t>
      </w:r>
      <w:r w:rsidR="002D7707" w:rsidRPr="009C1199">
        <w:rPr>
          <w:color w:val="000000"/>
        </w:rPr>
        <w:t>. 2014. "Income Inequality and Redistribution in Post-Industrial Democracies: Demographic, Economic and Political Determinants."</w:t>
      </w:r>
      <w:r w:rsidR="002D7707" w:rsidRPr="009C1199">
        <w:rPr>
          <w:rStyle w:val="apple-converted-space"/>
          <w:color w:val="000000"/>
        </w:rPr>
        <w:t> </w:t>
      </w:r>
      <w:r w:rsidR="002D7707" w:rsidRPr="009C1199">
        <w:rPr>
          <w:i/>
          <w:iCs/>
          <w:color w:val="000000"/>
        </w:rPr>
        <w:t>Socio-Economic Review</w:t>
      </w:r>
      <w:r w:rsidR="002D7707" w:rsidRPr="009C1199">
        <w:rPr>
          <w:rStyle w:val="apple-converted-space"/>
          <w:color w:val="000000"/>
        </w:rPr>
        <w:t> </w:t>
      </w:r>
      <w:r w:rsidR="002D7707" w:rsidRPr="009C1199">
        <w:rPr>
          <w:color w:val="000000"/>
        </w:rPr>
        <w:t>12(2):</w:t>
      </w:r>
      <w:r w:rsidR="00525B62">
        <w:rPr>
          <w:color w:val="000000"/>
        </w:rPr>
        <w:t xml:space="preserve"> </w:t>
      </w:r>
      <w:r w:rsidR="002D7707" w:rsidRPr="009C1199">
        <w:rPr>
          <w:color w:val="000000"/>
        </w:rPr>
        <w:t>245-67.</w:t>
      </w:r>
    </w:p>
    <w:p w14:paraId="1C5C30AB" w14:textId="3ECDD982" w:rsidR="002D7707" w:rsidRPr="009C1199" w:rsidRDefault="002D7707" w:rsidP="00BD2B9F">
      <w:pPr>
        <w:pStyle w:val="NormalWeb"/>
        <w:ind w:left="450" w:hanging="450"/>
        <w:jc w:val="both"/>
        <w:rPr>
          <w:color w:val="000000"/>
        </w:rPr>
      </w:pPr>
      <w:r w:rsidRPr="009C1199">
        <w:rPr>
          <w:color w:val="000000"/>
        </w:rPr>
        <w:t>International IDEA Voter Turnout Website</w:t>
      </w:r>
      <w:r w:rsidR="00941990">
        <w:rPr>
          <w:color w:val="000000"/>
        </w:rPr>
        <w:t>, last modified 2017, accessed March 4, 2017,</w:t>
      </w:r>
      <w:r>
        <w:rPr>
          <w:color w:val="000000"/>
        </w:rPr>
        <w:t xml:space="preserve"> </w:t>
      </w:r>
      <w:hyperlink r:id="rId15" w:history="1">
        <w:r w:rsidRPr="00E819C3">
          <w:rPr>
            <w:rStyle w:val="Hyperlink"/>
          </w:rPr>
          <w:t>http://www.idea.int/data-tools/data/voter-turnout</w:t>
        </w:r>
      </w:hyperlink>
      <w:r>
        <w:rPr>
          <w:color w:val="000000"/>
        </w:rPr>
        <w:t xml:space="preserve">. </w:t>
      </w:r>
    </w:p>
    <w:p w14:paraId="17C3CC71" w14:textId="439098A4" w:rsidR="00955101" w:rsidRDefault="00955101" w:rsidP="00955101">
      <w:pPr>
        <w:pStyle w:val="NormalWeb"/>
        <w:ind w:left="450" w:hanging="450"/>
        <w:jc w:val="both"/>
        <w:rPr>
          <w:color w:val="000000"/>
        </w:rPr>
      </w:pPr>
      <w:r w:rsidRPr="00955101">
        <w:rPr>
          <w:color w:val="000000"/>
        </w:rPr>
        <w:t>Islam</w:t>
      </w:r>
      <w:r>
        <w:rPr>
          <w:color w:val="000000"/>
        </w:rPr>
        <w:t xml:space="preserve">, </w:t>
      </w:r>
      <w:r w:rsidRPr="00955101">
        <w:rPr>
          <w:color w:val="000000"/>
        </w:rPr>
        <w:t>Md. Rabiul, Jakob B. Madsen and Hristos</w:t>
      </w:r>
      <w:r>
        <w:rPr>
          <w:color w:val="000000"/>
        </w:rPr>
        <w:t xml:space="preserve"> </w:t>
      </w:r>
      <w:r w:rsidRPr="00955101">
        <w:rPr>
          <w:color w:val="000000"/>
        </w:rPr>
        <w:t>Doucouliagos</w:t>
      </w:r>
      <w:r>
        <w:rPr>
          <w:color w:val="000000"/>
        </w:rPr>
        <w:t>. 2017.</w:t>
      </w:r>
      <w:r w:rsidRPr="00955101">
        <w:rPr>
          <w:color w:val="000000"/>
        </w:rPr>
        <w:t xml:space="preserve"> </w:t>
      </w:r>
      <w:r>
        <w:rPr>
          <w:color w:val="000000"/>
        </w:rPr>
        <w:t>“</w:t>
      </w:r>
      <w:r w:rsidRPr="00955101">
        <w:rPr>
          <w:color w:val="000000"/>
        </w:rPr>
        <w:t>Does Inequality Constrain the Power to Tax? Evidence from the</w:t>
      </w:r>
      <w:r>
        <w:rPr>
          <w:color w:val="000000"/>
        </w:rPr>
        <w:t xml:space="preserve"> </w:t>
      </w:r>
      <w:r w:rsidRPr="00955101">
        <w:rPr>
          <w:color w:val="000000"/>
        </w:rPr>
        <w:t>OECD</w:t>
      </w:r>
      <w:r w:rsidR="00941990">
        <w:rPr>
          <w:color w:val="000000"/>
        </w:rPr>
        <w:t>”</w:t>
      </w:r>
      <w:r w:rsidRPr="00955101">
        <w:rPr>
          <w:color w:val="000000"/>
        </w:rPr>
        <w:t xml:space="preserve">, </w:t>
      </w:r>
      <w:r w:rsidRPr="00955101">
        <w:rPr>
          <w:i/>
          <w:color w:val="000000"/>
        </w:rPr>
        <w:t>European Journal of Political Economy</w:t>
      </w:r>
      <w:r w:rsidR="00527731">
        <w:rPr>
          <w:color w:val="000000"/>
        </w:rPr>
        <w:t>.</w:t>
      </w:r>
      <w:r w:rsidR="00ED70E6">
        <w:rPr>
          <w:color w:val="000000"/>
        </w:rPr>
        <w:t xml:space="preserve"> Last modified March 3, 2017, a</w:t>
      </w:r>
      <w:r w:rsidR="00BE62AA">
        <w:rPr>
          <w:color w:val="000000"/>
        </w:rPr>
        <w:t xml:space="preserve">ccessed October 17, 2017, </w:t>
      </w:r>
      <w:r w:rsidR="00BE62AA" w:rsidRPr="00BE62AA">
        <w:rPr>
          <w:color w:val="000000"/>
        </w:rPr>
        <w:t>http://www.sciencedirect.com/science/article/pii/S017626801630057X</w:t>
      </w:r>
      <w:r w:rsidR="00BE62AA">
        <w:rPr>
          <w:color w:val="000000"/>
        </w:rPr>
        <w:t>.</w:t>
      </w:r>
    </w:p>
    <w:p w14:paraId="4D86C6FE" w14:textId="3DD70A34" w:rsidR="002D7707" w:rsidRPr="009C1199" w:rsidRDefault="002D7707" w:rsidP="00BD2B9F">
      <w:pPr>
        <w:pStyle w:val="NormalWeb"/>
        <w:ind w:left="450" w:hanging="450"/>
        <w:jc w:val="both"/>
        <w:rPr>
          <w:color w:val="000000"/>
        </w:rPr>
      </w:pPr>
      <w:r w:rsidRPr="009C1199">
        <w:rPr>
          <w:color w:val="000000"/>
        </w:rPr>
        <w:t>Iversen, Torben. 2005.</w:t>
      </w:r>
      <w:r w:rsidRPr="009C1199">
        <w:rPr>
          <w:rStyle w:val="apple-converted-space"/>
          <w:color w:val="000000"/>
        </w:rPr>
        <w:t> </w:t>
      </w:r>
      <w:r w:rsidRPr="009C1199">
        <w:rPr>
          <w:i/>
          <w:iCs/>
          <w:color w:val="000000"/>
        </w:rPr>
        <w:t>Capitalism, Democracy and Welfare</w:t>
      </w:r>
      <w:r w:rsidRPr="009C1199">
        <w:rPr>
          <w:color w:val="000000"/>
        </w:rPr>
        <w:t>. Cambridge</w:t>
      </w:r>
      <w:r w:rsidR="00527731">
        <w:rPr>
          <w:color w:val="000000"/>
        </w:rPr>
        <w:t>, U.K</w:t>
      </w:r>
      <w:r w:rsidRPr="009C1199">
        <w:rPr>
          <w:color w:val="000000"/>
        </w:rPr>
        <w:t>: Cambridge University Press.</w:t>
      </w:r>
    </w:p>
    <w:p w14:paraId="468CE41A" w14:textId="5935D97F" w:rsidR="002D7707" w:rsidRPr="009C1199" w:rsidRDefault="00527731" w:rsidP="00BD2B9F">
      <w:pPr>
        <w:pStyle w:val="NormalWeb"/>
        <w:ind w:left="450" w:hanging="450"/>
        <w:jc w:val="both"/>
        <w:rPr>
          <w:color w:val="000000"/>
        </w:rPr>
      </w:pPr>
      <w:r w:rsidRPr="009C1199">
        <w:rPr>
          <w:color w:val="000000"/>
        </w:rPr>
        <w:lastRenderedPageBreak/>
        <w:t>Iversen, Torben</w:t>
      </w:r>
      <w:r w:rsidR="002D7707" w:rsidRPr="009C1199">
        <w:rPr>
          <w:color w:val="000000"/>
        </w:rPr>
        <w:t>. 2010. "Democracy and Capitalism." In</w:t>
      </w:r>
      <w:r w:rsidR="002D7707" w:rsidRPr="009C1199">
        <w:rPr>
          <w:rStyle w:val="apple-converted-space"/>
          <w:color w:val="000000"/>
        </w:rPr>
        <w:t> </w:t>
      </w:r>
      <w:r w:rsidR="002D7707" w:rsidRPr="009C1199">
        <w:rPr>
          <w:i/>
          <w:iCs/>
          <w:color w:val="000000"/>
        </w:rPr>
        <w:t>The Oxford Handbook of the Welfare State,</w:t>
      </w:r>
      <w:r w:rsidR="002D7707" w:rsidRPr="009C1199">
        <w:rPr>
          <w:rStyle w:val="apple-converted-space"/>
          <w:color w:val="000000"/>
        </w:rPr>
        <w:t> </w:t>
      </w:r>
      <w:r w:rsidR="002D7707" w:rsidRPr="009C1199">
        <w:rPr>
          <w:color w:val="000000"/>
        </w:rPr>
        <w:t>ed</w:t>
      </w:r>
      <w:r w:rsidR="00A5728D">
        <w:rPr>
          <w:color w:val="000000"/>
        </w:rPr>
        <w:t>ited by</w:t>
      </w:r>
      <w:r w:rsidR="002D7707" w:rsidRPr="009C1199">
        <w:rPr>
          <w:color w:val="000000"/>
        </w:rPr>
        <w:t xml:space="preserve"> Francis G. Castles, Stephan Leibfried, Jane Lewis, Herbert Obinger and Paul Pierson</w:t>
      </w:r>
      <w:r w:rsidR="00A5728D">
        <w:rPr>
          <w:color w:val="000000"/>
        </w:rPr>
        <w:t>, 183-</w:t>
      </w:r>
      <w:r w:rsidR="00A5728D" w:rsidRPr="009C1199">
        <w:rPr>
          <w:color w:val="000000"/>
        </w:rPr>
        <w:t>95</w:t>
      </w:r>
      <w:r w:rsidR="002D7707" w:rsidRPr="009C1199">
        <w:rPr>
          <w:color w:val="000000"/>
        </w:rPr>
        <w:t>. Oxford</w:t>
      </w:r>
      <w:r>
        <w:rPr>
          <w:color w:val="000000"/>
        </w:rPr>
        <w:t>, U.K.</w:t>
      </w:r>
      <w:r w:rsidR="002D7707" w:rsidRPr="009C1199">
        <w:rPr>
          <w:color w:val="000000"/>
        </w:rPr>
        <w:t>: Oxford University Press.</w:t>
      </w:r>
    </w:p>
    <w:p w14:paraId="26178D84" w14:textId="2B33586F" w:rsidR="002D7707" w:rsidRPr="009C1199" w:rsidRDefault="002D7707" w:rsidP="00BD2B9F">
      <w:pPr>
        <w:pStyle w:val="NormalWeb"/>
        <w:ind w:left="450" w:hanging="450"/>
        <w:jc w:val="both"/>
        <w:rPr>
          <w:color w:val="000000"/>
        </w:rPr>
      </w:pPr>
      <w:r w:rsidRPr="009C1199">
        <w:rPr>
          <w:color w:val="000000"/>
        </w:rPr>
        <w:t xml:space="preserve">Iversen, Torben, and Thomas R. Cusack. 2000. "The Causes of Welfare State </w:t>
      </w:r>
      <w:r>
        <w:rPr>
          <w:color w:val="000000"/>
        </w:rPr>
        <w:t>Expansion: Deindustrialization o</w:t>
      </w:r>
      <w:r w:rsidRPr="009C1199">
        <w:rPr>
          <w:color w:val="000000"/>
        </w:rPr>
        <w:t>r Globalization?"</w:t>
      </w:r>
      <w:r w:rsidRPr="009C1199">
        <w:rPr>
          <w:rStyle w:val="apple-converted-space"/>
          <w:color w:val="000000"/>
        </w:rPr>
        <w:t> </w:t>
      </w:r>
      <w:r w:rsidRPr="009C1199">
        <w:rPr>
          <w:i/>
          <w:iCs/>
          <w:color w:val="000000"/>
        </w:rPr>
        <w:t>World Politics</w:t>
      </w:r>
      <w:r w:rsidRPr="009C1199">
        <w:rPr>
          <w:rStyle w:val="apple-converted-space"/>
          <w:color w:val="000000"/>
        </w:rPr>
        <w:t> </w:t>
      </w:r>
      <w:r w:rsidRPr="009C1199">
        <w:rPr>
          <w:color w:val="000000"/>
        </w:rPr>
        <w:t>52(3):</w:t>
      </w:r>
      <w:r w:rsidR="00525B62">
        <w:rPr>
          <w:color w:val="000000"/>
        </w:rPr>
        <w:t xml:space="preserve"> </w:t>
      </w:r>
      <w:r w:rsidRPr="009C1199">
        <w:rPr>
          <w:color w:val="000000"/>
        </w:rPr>
        <w:t>313-49.</w:t>
      </w:r>
    </w:p>
    <w:p w14:paraId="709CD326" w14:textId="6BD4652D" w:rsidR="002D7707" w:rsidRPr="009C1199" w:rsidRDefault="002D7707" w:rsidP="00BD2B9F">
      <w:pPr>
        <w:pStyle w:val="NormalWeb"/>
        <w:ind w:left="450" w:hanging="450"/>
        <w:jc w:val="both"/>
        <w:rPr>
          <w:color w:val="000000"/>
        </w:rPr>
      </w:pPr>
      <w:r w:rsidRPr="009C1199">
        <w:rPr>
          <w:color w:val="000000"/>
        </w:rPr>
        <w:t>Iversen, Torben, and David Soskice. 2006. "Electoral Institutions and the Politics of Coalitions: Why some Democracies Redistribute More than Others."</w:t>
      </w:r>
      <w:r w:rsidRPr="009C1199">
        <w:rPr>
          <w:rStyle w:val="apple-converted-space"/>
          <w:color w:val="000000"/>
        </w:rPr>
        <w:t> </w:t>
      </w:r>
      <w:r w:rsidRPr="009C1199">
        <w:rPr>
          <w:i/>
          <w:iCs/>
          <w:color w:val="000000"/>
        </w:rPr>
        <w:t>American Political Science Review</w:t>
      </w:r>
      <w:r w:rsidRPr="009C1199">
        <w:rPr>
          <w:rStyle w:val="apple-converted-space"/>
          <w:color w:val="000000"/>
        </w:rPr>
        <w:t> </w:t>
      </w:r>
      <w:r w:rsidRPr="009C1199">
        <w:rPr>
          <w:color w:val="000000"/>
        </w:rPr>
        <w:t>100(2):</w:t>
      </w:r>
      <w:r w:rsidR="00525B62">
        <w:rPr>
          <w:color w:val="000000"/>
        </w:rPr>
        <w:t xml:space="preserve"> </w:t>
      </w:r>
      <w:r w:rsidRPr="009C1199">
        <w:rPr>
          <w:color w:val="000000"/>
        </w:rPr>
        <w:t>165-81.</w:t>
      </w:r>
    </w:p>
    <w:p w14:paraId="4B5D3C9C" w14:textId="2FBA09DE" w:rsidR="002D7707" w:rsidRDefault="002D7707" w:rsidP="00BD2B9F">
      <w:pPr>
        <w:pStyle w:val="NormalWeb"/>
        <w:ind w:left="450" w:hanging="450"/>
        <w:jc w:val="both"/>
        <w:rPr>
          <w:color w:val="000000"/>
        </w:rPr>
      </w:pPr>
      <w:r w:rsidRPr="009C1199">
        <w:rPr>
          <w:color w:val="000000"/>
        </w:rPr>
        <w:t xml:space="preserve">Jesuit, David K., and Vincent A. Mahler. 2010. "Comparing Government Redistribution </w:t>
      </w:r>
      <w:r w:rsidR="00BE62AA" w:rsidRPr="009C1199">
        <w:rPr>
          <w:color w:val="000000"/>
        </w:rPr>
        <w:t>across</w:t>
      </w:r>
      <w:r w:rsidRPr="009C1199">
        <w:rPr>
          <w:color w:val="000000"/>
        </w:rPr>
        <w:t xml:space="preserve"> Countries: The P</w:t>
      </w:r>
      <w:r>
        <w:rPr>
          <w:color w:val="000000"/>
        </w:rPr>
        <w:t>roblem of Second-Order Effects.</w:t>
      </w:r>
      <w:r w:rsidRPr="009C1199">
        <w:rPr>
          <w:color w:val="000000"/>
        </w:rPr>
        <w:t>"</w:t>
      </w:r>
      <w:r w:rsidRPr="009C1199">
        <w:rPr>
          <w:rStyle w:val="apple-converted-space"/>
          <w:color w:val="000000"/>
        </w:rPr>
        <w:t> </w:t>
      </w:r>
      <w:r w:rsidRPr="009C1199">
        <w:rPr>
          <w:i/>
          <w:iCs/>
          <w:color w:val="000000"/>
        </w:rPr>
        <w:t>Social Science Quarterly</w:t>
      </w:r>
      <w:r w:rsidRPr="009C1199">
        <w:rPr>
          <w:rStyle w:val="apple-converted-space"/>
          <w:color w:val="000000"/>
        </w:rPr>
        <w:t> </w:t>
      </w:r>
      <w:r w:rsidRPr="009C1199">
        <w:rPr>
          <w:color w:val="000000"/>
        </w:rPr>
        <w:t>91(5):</w:t>
      </w:r>
      <w:r w:rsidR="00525B62">
        <w:rPr>
          <w:color w:val="000000"/>
        </w:rPr>
        <w:t xml:space="preserve"> </w:t>
      </w:r>
      <w:r w:rsidRPr="009C1199">
        <w:rPr>
          <w:color w:val="000000"/>
        </w:rPr>
        <w:t>1390-404.</w:t>
      </w:r>
    </w:p>
    <w:p w14:paraId="52EB0469" w14:textId="01E5B10F" w:rsidR="002D7707" w:rsidRPr="001E352E" w:rsidRDefault="00527731" w:rsidP="00BD2B9F">
      <w:pPr>
        <w:pStyle w:val="NormalWeb"/>
        <w:ind w:left="450" w:hanging="450"/>
        <w:jc w:val="both"/>
        <w:rPr>
          <w:color w:val="000000"/>
        </w:rPr>
      </w:pPr>
      <w:r w:rsidRPr="009C1199">
        <w:rPr>
          <w:color w:val="000000"/>
        </w:rPr>
        <w:t>Jesuit, David K., and Vincent A. Mahler</w:t>
      </w:r>
      <w:r w:rsidR="002D7707" w:rsidRPr="001E352E">
        <w:rPr>
          <w:color w:val="000000"/>
        </w:rPr>
        <w:t>. 2016. "Fiscal Redistribution in Comparative Perspective: Recent Evidence from the Luxembourg Income Study (LIS) Data Center." In</w:t>
      </w:r>
      <w:r w:rsidR="002D7707" w:rsidRPr="001E352E">
        <w:rPr>
          <w:rStyle w:val="apple-converted-space"/>
          <w:color w:val="000000"/>
        </w:rPr>
        <w:t> </w:t>
      </w:r>
      <w:r w:rsidR="002D7707" w:rsidRPr="001E352E">
        <w:rPr>
          <w:i/>
          <w:iCs/>
          <w:color w:val="000000"/>
        </w:rPr>
        <w:t>Leviathan After the Boom: Public Finance in the Industrialized Western Countries since the 1970's,</w:t>
      </w:r>
      <w:r w:rsidR="002D7707" w:rsidRPr="001E352E">
        <w:rPr>
          <w:rStyle w:val="apple-converted-space"/>
          <w:color w:val="000000"/>
        </w:rPr>
        <w:t> </w:t>
      </w:r>
      <w:r w:rsidR="002D7707" w:rsidRPr="001E352E">
        <w:rPr>
          <w:color w:val="000000"/>
        </w:rPr>
        <w:t>ed</w:t>
      </w:r>
      <w:r w:rsidR="00A5728D">
        <w:rPr>
          <w:color w:val="000000"/>
        </w:rPr>
        <w:t>ited by</w:t>
      </w:r>
      <w:r w:rsidR="002D7707" w:rsidRPr="001E352E">
        <w:rPr>
          <w:color w:val="000000"/>
        </w:rPr>
        <w:t xml:space="preserve"> Marc Buggeln, Martin Daunton and Alexander Nützenadel</w:t>
      </w:r>
      <w:r w:rsidR="00A5728D">
        <w:rPr>
          <w:color w:val="000000"/>
        </w:rPr>
        <w:t>, 1-31</w:t>
      </w:r>
      <w:r w:rsidR="002D7707" w:rsidRPr="001E352E">
        <w:rPr>
          <w:color w:val="000000"/>
        </w:rPr>
        <w:t>. New York</w:t>
      </w:r>
      <w:r>
        <w:rPr>
          <w:color w:val="000000"/>
        </w:rPr>
        <w:t>, NY</w:t>
      </w:r>
      <w:r w:rsidR="002D7707" w:rsidRPr="001E352E">
        <w:rPr>
          <w:color w:val="000000"/>
        </w:rPr>
        <w:t>: Cambridge University Press.</w:t>
      </w:r>
    </w:p>
    <w:p w14:paraId="1D1524E3" w14:textId="0F19679D" w:rsidR="002D7707" w:rsidRPr="009C1199" w:rsidRDefault="002D7707" w:rsidP="00BD2B9F">
      <w:pPr>
        <w:pStyle w:val="NormalWeb"/>
        <w:ind w:left="450" w:hanging="450"/>
        <w:jc w:val="both"/>
        <w:rPr>
          <w:color w:val="000000"/>
        </w:rPr>
      </w:pPr>
      <w:r w:rsidRPr="009C1199">
        <w:rPr>
          <w:color w:val="000000"/>
        </w:rPr>
        <w:t>Kenworthy, Lane, and Jonas Pontusson. 2005. "Rising Inequality and the Politics of Redistribution in Affluent Countries."</w:t>
      </w:r>
      <w:r w:rsidRPr="009C1199">
        <w:rPr>
          <w:rStyle w:val="apple-converted-space"/>
          <w:color w:val="000000"/>
        </w:rPr>
        <w:t> </w:t>
      </w:r>
      <w:r w:rsidRPr="009C1199">
        <w:rPr>
          <w:i/>
          <w:iCs/>
          <w:color w:val="000000"/>
        </w:rPr>
        <w:t>Perspectives on Politics</w:t>
      </w:r>
      <w:r w:rsidRPr="009C1199">
        <w:rPr>
          <w:rStyle w:val="apple-converted-space"/>
          <w:color w:val="000000"/>
        </w:rPr>
        <w:t> </w:t>
      </w:r>
      <w:r>
        <w:rPr>
          <w:color w:val="000000"/>
        </w:rPr>
        <w:t>3(3)</w:t>
      </w:r>
      <w:r w:rsidRPr="009C1199">
        <w:rPr>
          <w:color w:val="000000"/>
        </w:rPr>
        <w:t>:</w:t>
      </w:r>
      <w:r w:rsidR="00525B62">
        <w:rPr>
          <w:color w:val="000000"/>
        </w:rPr>
        <w:t xml:space="preserve"> </w:t>
      </w:r>
      <w:r w:rsidRPr="009C1199">
        <w:rPr>
          <w:color w:val="000000"/>
        </w:rPr>
        <w:t>449-71.</w:t>
      </w:r>
    </w:p>
    <w:p w14:paraId="4F34CBCA" w14:textId="5CA89CF8" w:rsidR="002D7707" w:rsidRDefault="002D7707" w:rsidP="00BD2B9F">
      <w:pPr>
        <w:pStyle w:val="NormalWeb"/>
        <w:ind w:left="450" w:hanging="450"/>
        <w:jc w:val="both"/>
        <w:rPr>
          <w:color w:val="000000"/>
        </w:rPr>
      </w:pPr>
      <w:r w:rsidRPr="009C1199">
        <w:rPr>
          <w:color w:val="000000"/>
        </w:rPr>
        <w:t>Larcinese, Valentino. 2007. "Voting Over Redistribution and the Size of the Welfare State: The Role of Turnout."</w:t>
      </w:r>
      <w:r w:rsidRPr="009C1199">
        <w:rPr>
          <w:rStyle w:val="apple-converted-space"/>
          <w:color w:val="000000"/>
        </w:rPr>
        <w:t> </w:t>
      </w:r>
      <w:r w:rsidRPr="009C1199">
        <w:rPr>
          <w:i/>
          <w:iCs/>
          <w:color w:val="000000"/>
        </w:rPr>
        <w:t>Political Studies</w:t>
      </w:r>
      <w:r w:rsidRPr="009C1199">
        <w:rPr>
          <w:rStyle w:val="apple-converted-space"/>
          <w:color w:val="000000"/>
        </w:rPr>
        <w:t> </w:t>
      </w:r>
      <w:r w:rsidRPr="009C1199">
        <w:rPr>
          <w:color w:val="000000"/>
        </w:rPr>
        <w:t>55(3):</w:t>
      </w:r>
      <w:r w:rsidR="00525B62">
        <w:rPr>
          <w:color w:val="000000"/>
        </w:rPr>
        <w:t xml:space="preserve"> </w:t>
      </w:r>
      <w:r w:rsidRPr="009C1199">
        <w:rPr>
          <w:color w:val="000000"/>
        </w:rPr>
        <w:t>568-85.</w:t>
      </w:r>
    </w:p>
    <w:p w14:paraId="02521509" w14:textId="7DC4180A" w:rsidR="00736594" w:rsidRPr="009C1199" w:rsidRDefault="00736594" w:rsidP="0072104C">
      <w:pPr>
        <w:pStyle w:val="NormalWeb"/>
        <w:jc w:val="both"/>
        <w:rPr>
          <w:color w:val="000000"/>
        </w:rPr>
      </w:pPr>
      <w:r>
        <w:rPr>
          <w:color w:val="000000"/>
        </w:rPr>
        <w:t>Lebo, Matthew J.</w:t>
      </w:r>
      <w:r w:rsidR="002575E7">
        <w:rPr>
          <w:color w:val="000000"/>
        </w:rPr>
        <w:t>,</w:t>
      </w:r>
      <w:r>
        <w:rPr>
          <w:color w:val="000000"/>
        </w:rPr>
        <w:t xml:space="preserve"> and Patrick W. Kraft</w:t>
      </w:r>
      <w:r w:rsidR="0072104C">
        <w:rPr>
          <w:color w:val="000000"/>
        </w:rPr>
        <w:t>.</w:t>
      </w:r>
      <w:r>
        <w:rPr>
          <w:color w:val="000000"/>
        </w:rPr>
        <w:t xml:space="preserve"> </w:t>
      </w:r>
      <w:r w:rsidR="00525B62">
        <w:rPr>
          <w:color w:val="000000"/>
        </w:rPr>
        <w:t>2017</w:t>
      </w:r>
      <w:r>
        <w:rPr>
          <w:color w:val="000000"/>
        </w:rPr>
        <w:t xml:space="preserve">. “The General Error Correction Model in Practice.” </w:t>
      </w:r>
      <w:r w:rsidRPr="0072104C">
        <w:rPr>
          <w:i/>
          <w:color w:val="000000"/>
        </w:rPr>
        <w:t>Research and Politics</w:t>
      </w:r>
      <w:r w:rsidR="00525B62">
        <w:rPr>
          <w:color w:val="000000"/>
        </w:rPr>
        <w:t xml:space="preserve"> </w:t>
      </w:r>
      <w:r w:rsidR="00525B62">
        <w:t>April-June: 1-13.</w:t>
      </w:r>
      <w:r w:rsidR="00BE62AA">
        <w:t xml:space="preserve"> Accessed October 17, 2017, </w:t>
      </w:r>
      <w:r w:rsidR="00BE62AA" w:rsidRPr="00BE62AA">
        <w:t>http://journals.sagepub.com/doi/pdf/10.1177/2053168017713059</w:t>
      </w:r>
      <w:r w:rsidR="00BE62AA">
        <w:t>.</w:t>
      </w:r>
    </w:p>
    <w:p w14:paraId="377AEE7B" w14:textId="77777777" w:rsidR="002D7707" w:rsidRPr="009C1199" w:rsidRDefault="002D7707" w:rsidP="00BD2B9F">
      <w:pPr>
        <w:pStyle w:val="NormalWeb"/>
        <w:ind w:left="450" w:hanging="450"/>
        <w:jc w:val="both"/>
        <w:rPr>
          <w:color w:val="000000"/>
        </w:rPr>
      </w:pPr>
      <w:r w:rsidRPr="009C1199">
        <w:rPr>
          <w:color w:val="000000"/>
        </w:rPr>
        <w:t>Lindert, Peter H. 2004.</w:t>
      </w:r>
      <w:r w:rsidRPr="009C1199">
        <w:rPr>
          <w:rStyle w:val="apple-converted-space"/>
          <w:color w:val="000000"/>
        </w:rPr>
        <w:t> </w:t>
      </w:r>
      <w:r w:rsidRPr="009C1199">
        <w:rPr>
          <w:i/>
          <w:iCs/>
          <w:color w:val="000000"/>
        </w:rPr>
        <w:t>Growing Public: Social Spending and Economic Growth since the Eighteenth Century</w:t>
      </w:r>
      <w:r w:rsidRPr="009C1199">
        <w:rPr>
          <w:color w:val="000000"/>
        </w:rPr>
        <w:t>. New York: Cambridge University Press.</w:t>
      </w:r>
    </w:p>
    <w:p w14:paraId="021BC652" w14:textId="66DB3B94" w:rsidR="002D7707" w:rsidRPr="009C1199" w:rsidRDefault="002D7707" w:rsidP="00BD2B9F">
      <w:pPr>
        <w:pStyle w:val="NormalWeb"/>
        <w:ind w:left="450" w:hanging="450"/>
        <w:jc w:val="both"/>
        <w:rPr>
          <w:color w:val="000000"/>
        </w:rPr>
      </w:pPr>
      <w:r w:rsidRPr="009C1199">
        <w:rPr>
          <w:color w:val="000000"/>
        </w:rPr>
        <w:t>Lupu, Noam, and Jonas Pontusson. 2011. "The Structure of Inequality and the Politics of Redistribution."</w:t>
      </w:r>
      <w:r w:rsidRPr="009C1199">
        <w:rPr>
          <w:rStyle w:val="apple-converted-space"/>
          <w:color w:val="000000"/>
        </w:rPr>
        <w:t> </w:t>
      </w:r>
      <w:r w:rsidRPr="009C1199">
        <w:rPr>
          <w:i/>
          <w:iCs/>
          <w:color w:val="000000"/>
        </w:rPr>
        <w:t>American Political Science Review</w:t>
      </w:r>
      <w:r w:rsidRPr="009C1199">
        <w:rPr>
          <w:rStyle w:val="apple-converted-space"/>
          <w:color w:val="000000"/>
        </w:rPr>
        <w:t> </w:t>
      </w:r>
      <w:r w:rsidRPr="009C1199">
        <w:rPr>
          <w:color w:val="000000"/>
        </w:rPr>
        <w:t>105(2):</w:t>
      </w:r>
      <w:r w:rsidR="00525B62">
        <w:rPr>
          <w:color w:val="000000"/>
        </w:rPr>
        <w:t xml:space="preserve"> </w:t>
      </w:r>
      <w:r w:rsidRPr="009C1199">
        <w:rPr>
          <w:color w:val="000000"/>
        </w:rPr>
        <w:t>316-36.</w:t>
      </w:r>
    </w:p>
    <w:p w14:paraId="7E93DEE6" w14:textId="03899807" w:rsidR="002D7707" w:rsidRPr="009C1199" w:rsidRDefault="002D7707" w:rsidP="00BD2B9F">
      <w:pPr>
        <w:pStyle w:val="NormalWeb"/>
        <w:ind w:left="450" w:hanging="450"/>
        <w:jc w:val="both"/>
        <w:rPr>
          <w:color w:val="000000"/>
        </w:rPr>
      </w:pPr>
      <w:r w:rsidRPr="009C1199">
        <w:rPr>
          <w:color w:val="000000"/>
        </w:rPr>
        <w:t>Mahler, Vincent A. 2008. "Electoral Turnout and Income Redistribution by the State: A Cross-National Analysis of the Developed Democracies."</w:t>
      </w:r>
      <w:r w:rsidRPr="009C1199">
        <w:rPr>
          <w:rStyle w:val="apple-converted-space"/>
          <w:color w:val="000000"/>
        </w:rPr>
        <w:t> </w:t>
      </w:r>
      <w:r w:rsidRPr="009C1199">
        <w:rPr>
          <w:i/>
          <w:iCs/>
          <w:color w:val="000000"/>
        </w:rPr>
        <w:t>European Journal of Political Research</w:t>
      </w:r>
      <w:r w:rsidRPr="009C1199">
        <w:rPr>
          <w:rStyle w:val="apple-converted-space"/>
          <w:color w:val="000000"/>
        </w:rPr>
        <w:t> </w:t>
      </w:r>
      <w:r w:rsidRPr="009C1199">
        <w:rPr>
          <w:color w:val="000000"/>
        </w:rPr>
        <w:t>47(2):</w:t>
      </w:r>
      <w:r w:rsidR="00525B62">
        <w:rPr>
          <w:color w:val="000000"/>
        </w:rPr>
        <w:t xml:space="preserve"> </w:t>
      </w:r>
      <w:r w:rsidRPr="009C1199">
        <w:rPr>
          <w:color w:val="000000"/>
        </w:rPr>
        <w:t>161-83.</w:t>
      </w:r>
    </w:p>
    <w:p w14:paraId="09DB16B8" w14:textId="5099F04D" w:rsidR="002D7707" w:rsidRPr="009C1199" w:rsidRDefault="00527731" w:rsidP="00BD2B9F">
      <w:pPr>
        <w:pStyle w:val="NormalWeb"/>
        <w:ind w:left="450" w:hanging="450"/>
        <w:jc w:val="both"/>
        <w:rPr>
          <w:color w:val="000000"/>
        </w:rPr>
      </w:pPr>
      <w:r w:rsidRPr="009C1199">
        <w:rPr>
          <w:color w:val="000000"/>
        </w:rPr>
        <w:t>Mahler, Vincent A</w:t>
      </w:r>
      <w:r w:rsidR="002D7707">
        <w:rPr>
          <w:color w:val="000000"/>
        </w:rPr>
        <w:t>. 2010. "</w:t>
      </w:r>
      <w:r w:rsidR="002D7707" w:rsidRPr="009C1199">
        <w:rPr>
          <w:color w:val="000000"/>
        </w:rPr>
        <w:t>Government Inequality Reduction in Comparative Perspective: A Cross-National Analysis of the Developed World</w:t>
      </w:r>
      <w:r w:rsidR="002D7707">
        <w:rPr>
          <w:color w:val="000000"/>
        </w:rPr>
        <w:t>.</w:t>
      </w:r>
      <w:r w:rsidR="002D7707" w:rsidRPr="009C1199">
        <w:rPr>
          <w:color w:val="000000"/>
        </w:rPr>
        <w:t>"</w:t>
      </w:r>
      <w:r w:rsidR="002D7707" w:rsidRPr="009C1199">
        <w:rPr>
          <w:rStyle w:val="apple-converted-space"/>
          <w:color w:val="000000"/>
        </w:rPr>
        <w:t> </w:t>
      </w:r>
      <w:r w:rsidR="002D7707" w:rsidRPr="009C1199">
        <w:rPr>
          <w:i/>
          <w:iCs/>
          <w:color w:val="000000"/>
        </w:rPr>
        <w:t>Polity</w:t>
      </w:r>
      <w:r w:rsidR="002D7707" w:rsidRPr="009C1199">
        <w:rPr>
          <w:rStyle w:val="apple-converted-space"/>
          <w:color w:val="000000"/>
        </w:rPr>
        <w:t> </w:t>
      </w:r>
      <w:r w:rsidR="002D7707" w:rsidRPr="009C1199">
        <w:rPr>
          <w:color w:val="000000"/>
        </w:rPr>
        <w:t>42(4):</w:t>
      </w:r>
      <w:r w:rsidR="00525B62">
        <w:rPr>
          <w:color w:val="000000"/>
        </w:rPr>
        <w:t xml:space="preserve"> </w:t>
      </w:r>
      <w:r w:rsidR="002D7707" w:rsidRPr="009C1199">
        <w:rPr>
          <w:color w:val="000000"/>
        </w:rPr>
        <w:t>511-41.</w:t>
      </w:r>
    </w:p>
    <w:p w14:paraId="3503504F" w14:textId="3CA496CF" w:rsidR="002D7707" w:rsidRPr="00672C19" w:rsidRDefault="002D7707" w:rsidP="00BD2B9F">
      <w:pPr>
        <w:pStyle w:val="NormalWeb"/>
        <w:ind w:left="450" w:hanging="450"/>
        <w:jc w:val="both"/>
        <w:rPr>
          <w:color w:val="000000"/>
        </w:rPr>
      </w:pPr>
      <w:r w:rsidRPr="00FC2FA6">
        <w:rPr>
          <w:color w:val="000000"/>
        </w:rPr>
        <w:t>Mahler, Vincent A., David K. Jesuit, and Piotr R. Paradowski. 2014. "Electoral Turnout and State Redistribution: A Cross-National Study of Fourteen Developed Countries."</w:t>
      </w:r>
      <w:r w:rsidRPr="00FC2FA6">
        <w:rPr>
          <w:rStyle w:val="apple-converted-space"/>
          <w:color w:val="000000"/>
        </w:rPr>
        <w:t> </w:t>
      </w:r>
      <w:r w:rsidRPr="00FC2FA6">
        <w:rPr>
          <w:i/>
          <w:iCs/>
          <w:color w:val="000000"/>
        </w:rPr>
        <w:t>Political Research Quarterly</w:t>
      </w:r>
      <w:r w:rsidRPr="00FC2FA6">
        <w:rPr>
          <w:rStyle w:val="apple-converted-space"/>
          <w:color w:val="000000"/>
        </w:rPr>
        <w:t> </w:t>
      </w:r>
      <w:r w:rsidRPr="00FC2FA6">
        <w:rPr>
          <w:color w:val="000000"/>
        </w:rPr>
        <w:t>67(2):</w:t>
      </w:r>
      <w:r w:rsidR="00525B62">
        <w:rPr>
          <w:color w:val="000000"/>
        </w:rPr>
        <w:t xml:space="preserve"> </w:t>
      </w:r>
      <w:r w:rsidRPr="00FC2FA6">
        <w:rPr>
          <w:color w:val="000000"/>
        </w:rPr>
        <w:t>361-73.</w:t>
      </w:r>
    </w:p>
    <w:p w14:paraId="5B2CBAC4" w14:textId="075DB6D1" w:rsidR="002D7707" w:rsidRPr="009C1199" w:rsidRDefault="002D7707" w:rsidP="00BD2B9F">
      <w:pPr>
        <w:pStyle w:val="NormalWeb"/>
        <w:ind w:left="450" w:hanging="450"/>
        <w:jc w:val="both"/>
        <w:rPr>
          <w:color w:val="000000"/>
        </w:rPr>
      </w:pPr>
      <w:r w:rsidRPr="009C1199">
        <w:rPr>
          <w:color w:val="000000"/>
        </w:rPr>
        <w:lastRenderedPageBreak/>
        <w:t xml:space="preserve">Mares, Isabela. 2005. "Social Protection </w:t>
      </w:r>
      <w:r w:rsidR="00525B62" w:rsidRPr="009C1199">
        <w:rPr>
          <w:color w:val="000000"/>
        </w:rPr>
        <w:t>around</w:t>
      </w:r>
      <w:r w:rsidRPr="009C1199">
        <w:rPr>
          <w:color w:val="000000"/>
        </w:rPr>
        <w:t xml:space="preserve"> the World: External Insecurity, State Capacity, and Domestic Political Cleavages."</w:t>
      </w:r>
      <w:r w:rsidRPr="009C1199">
        <w:rPr>
          <w:rStyle w:val="apple-converted-space"/>
          <w:color w:val="000000"/>
        </w:rPr>
        <w:t> </w:t>
      </w:r>
      <w:r w:rsidRPr="009C1199">
        <w:rPr>
          <w:i/>
          <w:iCs/>
          <w:color w:val="000000"/>
        </w:rPr>
        <w:t>Comparative Political Studies</w:t>
      </w:r>
      <w:r w:rsidRPr="009C1199">
        <w:rPr>
          <w:rStyle w:val="apple-converted-space"/>
          <w:color w:val="000000"/>
        </w:rPr>
        <w:t> </w:t>
      </w:r>
      <w:r w:rsidRPr="009C1199">
        <w:rPr>
          <w:color w:val="000000"/>
        </w:rPr>
        <w:t>38(6):</w:t>
      </w:r>
      <w:r w:rsidR="00525B62">
        <w:rPr>
          <w:color w:val="000000"/>
        </w:rPr>
        <w:t xml:space="preserve"> </w:t>
      </w:r>
      <w:r w:rsidRPr="009C1199">
        <w:rPr>
          <w:color w:val="000000"/>
        </w:rPr>
        <w:t>623-51.</w:t>
      </w:r>
    </w:p>
    <w:p w14:paraId="5E05E9C3" w14:textId="4781C2C6" w:rsidR="002D7707" w:rsidRDefault="002D7707" w:rsidP="00BD2B9F">
      <w:pPr>
        <w:pStyle w:val="NormalWeb"/>
        <w:ind w:left="450" w:hanging="450"/>
        <w:jc w:val="both"/>
        <w:rPr>
          <w:color w:val="000000"/>
        </w:rPr>
      </w:pPr>
      <w:r w:rsidRPr="009C1199">
        <w:rPr>
          <w:color w:val="000000"/>
        </w:rPr>
        <w:t>Marshall, Monty G., Ted Robert Gurr</w:t>
      </w:r>
      <w:r>
        <w:rPr>
          <w:color w:val="000000"/>
        </w:rPr>
        <w:t>, and Keith Jaggers</w:t>
      </w:r>
      <w:r w:rsidRPr="009C1199">
        <w:rPr>
          <w:color w:val="000000"/>
        </w:rPr>
        <w:t>. 201</w:t>
      </w:r>
      <w:r>
        <w:rPr>
          <w:color w:val="000000"/>
        </w:rPr>
        <w:t>6</w:t>
      </w:r>
      <w:r w:rsidRPr="009C1199">
        <w:rPr>
          <w:color w:val="000000"/>
        </w:rPr>
        <w:t>. "Polity IV Project: Political Regime Characteristics and Transitions, 1800-201</w:t>
      </w:r>
      <w:r>
        <w:rPr>
          <w:color w:val="000000"/>
        </w:rPr>
        <w:t>5</w:t>
      </w:r>
      <w:r w:rsidRPr="009C1199">
        <w:rPr>
          <w:color w:val="000000"/>
        </w:rPr>
        <w:t>, Dataset Users' Manual"</w:t>
      </w:r>
      <w:r w:rsidR="00941990">
        <w:rPr>
          <w:color w:val="000000"/>
        </w:rPr>
        <w:t>, last modified May 19, 2016, accessed March 4, 2017,</w:t>
      </w:r>
      <w:r w:rsidRPr="00AB5E27">
        <w:t xml:space="preserve"> </w:t>
      </w:r>
      <w:r w:rsidRPr="00AB5E27">
        <w:rPr>
          <w:color w:val="000000"/>
        </w:rPr>
        <w:t>http://www.systemicpeace.org/inscrdata.html</w:t>
      </w:r>
      <w:r w:rsidRPr="009C1199">
        <w:rPr>
          <w:color w:val="000000"/>
        </w:rPr>
        <w:t>.</w:t>
      </w:r>
    </w:p>
    <w:p w14:paraId="23E5C1A5" w14:textId="313B26C6" w:rsidR="002D7707" w:rsidRPr="009C1199" w:rsidRDefault="002D7707" w:rsidP="00BD2B9F">
      <w:pPr>
        <w:pStyle w:val="NormalWeb"/>
        <w:ind w:left="450" w:hanging="450"/>
        <w:jc w:val="both"/>
        <w:rPr>
          <w:color w:val="000000"/>
        </w:rPr>
      </w:pPr>
      <w:r w:rsidRPr="009C1199">
        <w:rPr>
          <w:color w:val="000000"/>
        </w:rPr>
        <w:t>Meltzer, Allan H., and Scott F. Richard. 1981. "A Rational Theory of the Size of Government."</w:t>
      </w:r>
      <w:r w:rsidRPr="009C1199">
        <w:rPr>
          <w:rStyle w:val="apple-converted-space"/>
          <w:color w:val="000000"/>
        </w:rPr>
        <w:t> </w:t>
      </w:r>
      <w:r w:rsidRPr="009C1199">
        <w:rPr>
          <w:i/>
          <w:iCs/>
          <w:color w:val="000000"/>
        </w:rPr>
        <w:t>The Journal of Political Economy</w:t>
      </w:r>
      <w:r w:rsidRPr="009C1199">
        <w:rPr>
          <w:rStyle w:val="apple-converted-space"/>
          <w:color w:val="000000"/>
        </w:rPr>
        <w:t> </w:t>
      </w:r>
      <w:r w:rsidRPr="009C1199">
        <w:rPr>
          <w:color w:val="000000"/>
        </w:rPr>
        <w:t>89(5):</w:t>
      </w:r>
      <w:r w:rsidR="00525B62">
        <w:rPr>
          <w:color w:val="000000"/>
        </w:rPr>
        <w:t xml:space="preserve"> </w:t>
      </w:r>
      <w:r w:rsidRPr="009C1199">
        <w:rPr>
          <w:color w:val="000000"/>
        </w:rPr>
        <w:t>914-27.</w:t>
      </w:r>
    </w:p>
    <w:p w14:paraId="4042AEAF" w14:textId="454B5245" w:rsidR="002D7707" w:rsidRPr="009C1199" w:rsidRDefault="009123AB" w:rsidP="00BD2B9F">
      <w:pPr>
        <w:pStyle w:val="NormalWeb"/>
        <w:ind w:left="450" w:hanging="450"/>
        <w:jc w:val="both"/>
        <w:rPr>
          <w:color w:val="000000"/>
        </w:rPr>
      </w:pPr>
      <w:r w:rsidRPr="009C1199">
        <w:rPr>
          <w:color w:val="000000"/>
        </w:rPr>
        <w:t>Meltzer, Allan H., and Scott F. Richard</w:t>
      </w:r>
      <w:r w:rsidR="002D7707" w:rsidRPr="009C1199">
        <w:rPr>
          <w:color w:val="000000"/>
        </w:rPr>
        <w:t>. 1983. "Tests of a Rational Theory of the Size of Government."</w:t>
      </w:r>
      <w:r w:rsidR="002D7707" w:rsidRPr="009C1199">
        <w:rPr>
          <w:rStyle w:val="apple-converted-space"/>
          <w:color w:val="000000"/>
        </w:rPr>
        <w:t> </w:t>
      </w:r>
      <w:r w:rsidR="002D7707" w:rsidRPr="009C1199">
        <w:rPr>
          <w:i/>
          <w:iCs/>
          <w:color w:val="000000"/>
        </w:rPr>
        <w:t>Public Choice</w:t>
      </w:r>
      <w:r w:rsidR="002D7707" w:rsidRPr="009C1199">
        <w:rPr>
          <w:rStyle w:val="apple-converted-space"/>
          <w:color w:val="000000"/>
        </w:rPr>
        <w:t> </w:t>
      </w:r>
      <w:r w:rsidR="002D7707" w:rsidRPr="009C1199">
        <w:rPr>
          <w:color w:val="000000"/>
        </w:rPr>
        <w:t>41(3):</w:t>
      </w:r>
      <w:r w:rsidR="00525B62">
        <w:rPr>
          <w:color w:val="000000"/>
        </w:rPr>
        <w:t xml:space="preserve"> </w:t>
      </w:r>
      <w:r w:rsidR="002D7707" w:rsidRPr="009C1199">
        <w:rPr>
          <w:color w:val="000000"/>
        </w:rPr>
        <w:t>403-18.</w:t>
      </w:r>
    </w:p>
    <w:p w14:paraId="2D301B17" w14:textId="75A000D2" w:rsidR="00AF5654" w:rsidRDefault="00AF5654" w:rsidP="00BD2B9F">
      <w:pPr>
        <w:pStyle w:val="NormalWeb"/>
        <w:ind w:left="450" w:hanging="450"/>
        <w:jc w:val="both"/>
        <w:rPr>
          <w:color w:val="000000"/>
        </w:rPr>
      </w:pPr>
      <w:r>
        <w:rPr>
          <w:color w:val="000000"/>
        </w:rPr>
        <w:t>Milanovic, Branko. 2000. "The Median-Voter Hypothesis, Income Inequality, and Income Redistribution: An Empirical Test with the Required Data."</w:t>
      </w:r>
      <w:r>
        <w:rPr>
          <w:rStyle w:val="apple-converted-space"/>
          <w:color w:val="000000"/>
        </w:rPr>
        <w:t> </w:t>
      </w:r>
      <w:r>
        <w:rPr>
          <w:i/>
          <w:iCs/>
          <w:color w:val="000000"/>
        </w:rPr>
        <w:t>European Journal of Political Economy</w:t>
      </w:r>
      <w:r>
        <w:rPr>
          <w:rStyle w:val="apple-converted-space"/>
          <w:color w:val="000000"/>
        </w:rPr>
        <w:t> </w:t>
      </w:r>
      <w:r>
        <w:rPr>
          <w:color w:val="000000"/>
        </w:rPr>
        <w:t>16(3):</w:t>
      </w:r>
      <w:r w:rsidR="00525B62">
        <w:rPr>
          <w:color w:val="000000"/>
        </w:rPr>
        <w:t xml:space="preserve"> </w:t>
      </w:r>
      <w:r>
        <w:rPr>
          <w:color w:val="000000"/>
        </w:rPr>
        <w:t>367-410.</w:t>
      </w:r>
    </w:p>
    <w:p w14:paraId="44396CF7" w14:textId="00F60B89" w:rsidR="002D7707" w:rsidRPr="009C1199" w:rsidRDefault="002D7707" w:rsidP="00BD2B9F">
      <w:pPr>
        <w:pStyle w:val="NormalWeb"/>
        <w:ind w:left="450" w:hanging="450"/>
        <w:jc w:val="both"/>
        <w:rPr>
          <w:color w:val="000000"/>
        </w:rPr>
      </w:pPr>
      <w:r w:rsidRPr="009C1199">
        <w:rPr>
          <w:color w:val="000000"/>
        </w:rPr>
        <w:t>Mileva, Elitza. "Using Arellano – Bond Dynamic Panel GMM Estimators in Stata: Tutorial with Examples using Stata 9.0"</w:t>
      </w:r>
      <w:r w:rsidR="00941990">
        <w:rPr>
          <w:color w:val="000000"/>
        </w:rPr>
        <w:t>, last modified</w:t>
      </w:r>
      <w:r w:rsidR="00067518">
        <w:rPr>
          <w:color w:val="000000"/>
        </w:rPr>
        <w:t xml:space="preserve"> July 9</w:t>
      </w:r>
      <w:r w:rsidR="00941990">
        <w:rPr>
          <w:color w:val="000000"/>
        </w:rPr>
        <w:t xml:space="preserve"> </w:t>
      </w:r>
      <w:r w:rsidR="000F1EAD">
        <w:rPr>
          <w:color w:val="000000"/>
        </w:rPr>
        <w:t xml:space="preserve">2007, </w:t>
      </w:r>
      <w:r w:rsidR="000F1EAD" w:rsidRPr="009C1199">
        <w:rPr>
          <w:color w:val="000000"/>
        </w:rPr>
        <w:t>accessed</w:t>
      </w:r>
      <w:r>
        <w:rPr>
          <w:color w:val="000000"/>
        </w:rPr>
        <w:t xml:space="preserve"> </w:t>
      </w:r>
      <w:r w:rsidRPr="009C1199">
        <w:rPr>
          <w:color w:val="000000"/>
        </w:rPr>
        <w:t>June 3</w:t>
      </w:r>
      <w:r>
        <w:rPr>
          <w:color w:val="000000"/>
        </w:rPr>
        <w:t>, 2015</w:t>
      </w:r>
      <w:r w:rsidR="00067518">
        <w:rPr>
          <w:color w:val="000000"/>
        </w:rPr>
        <w:t>,</w:t>
      </w:r>
      <w:r w:rsidRPr="009C1199">
        <w:rPr>
          <w:rStyle w:val="apple-converted-space"/>
          <w:color w:val="000000"/>
        </w:rPr>
        <w:t> </w:t>
      </w:r>
      <w:hyperlink r:id="rId16" w:tgtFrame="_blank" w:history="1">
        <w:r w:rsidRPr="009C1199">
          <w:rPr>
            <w:rStyle w:val="Hyperlink"/>
          </w:rPr>
          <w:t>http://www.academia.edu/7518283/Elitz-Using_Arellano_Bond_GMMEstimators</w:t>
        </w:r>
      </w:hyperlink>
      <w:r w:rsidRPr="009C1199">
        <w:rPr>
          <w:color w:val="000000"/>
        </w:rPr>
        <w:t>.</w:t>
      </w:r>
    </w:p>
    <w:p w14:paraId="6A1629D4" w14:textId="35C2FA84" w:rsidR="002D7707" w:rsidRPr="00C81B47" w:rsidRDefault="002D7707" w:rsidP="00BD2B9F">
      <w:pPr>
        <w:pStyle w:val="NormalWeb"/>
        <w:ind w:left="450" w:hanging="450"/>
        <w:jc w:val="both"/>
        <w:rPr>
          <w:color w:val="000000"/>
        </w:rPr>
      </w:pPr>
      <w:r w:rsidRPr="00C81B47">
        <w:rPr>
          <w:color w:val="000000"/>
        </w:rPr>
        <w:t>Morgan, Jana, and Nathan J. Kelly. 2013. "Market Conditioning, Redistribution and Income Inequality in Latin America and the Caribbean."</w:t>
      </w:r>
      <w:r w:rsidRPr="00C81B47">
        <w:rPr>
          <w:rStyle w:val="apple-converted-space"/>
          <w:color w:val="000000"/>
        </w:rPr>
        <w:t> </w:t>
      </w:r>
      <w:r w:rsidRPr="00C81B47">
        <w:rPr>
          <w:i/>
          <w:iCs/>
          <w:color w:val="000000"/>
        </w:rPr>
        <w:t>Journal of Politics</w:t>
      </w:r>
      <w:r w:rsidRPr="00C81B47">
        <w:rPr>
          <w:rStyle w:val="apple-converted-space"/>
          <w:color w:val="000000"/>
        </w:rPr>
        <w:t> </w:t>
      </w:r>
      <w:r w:rsidRPr="00C81B47">
        <w:rPr>
          <w:color w:val="000000"/>
        </w:rPr>
        <w:t>75(3):</w:t>
      </w:r>
      <w:r w:rsidR="00BE62AA">
        <w:rPr>
          <w:color w:val="000000"/>
        </w:rPr>
        <w:t xml:space="preserve"> </w:t>
      </w:r>
      <w:r w:rsidRPr="00C81B47">
        <w:rPr>
          <w:color w:val="000000"/>
        </w:rPr>
        <w:t>672-85.</w:t>
      </w:r>
    </w:p>
    <w:p w14:paraId="6F4F8BA5" w14:textId="427A2411" w:rsidR="002D7707" w:rsidRPr="005F4F4A" w:rsidRDefault="002D7707" w:rsidP="00BD2B9F">
      <w:pPr>
        <w:pStyle w:val="NormalWeb"/>
        <w:ind w:left="450" w:hanging="450"/>
        <w:jc w:val="both"/>
        <w:rPr>
          <w:color w:val="000000"/>
        </w:rPr>
      </w:pPr>
      <w:r w:rsidRPr="005F4F4A">
        <w:rPr>
          <w:color w:val="000000"/>
        </w:rPr>
        <w:t>Olson, Mancur. 1982.</w:t>
      </w:r>
      <w:r w:rsidRPr="005F4F4A">
        <w:rPr>
          <w:rStyle w:val="apple-converted-space"/>
          <w:color w:val="000000"/>
        </w:rPr>
        <w:t> </w:t>
      </w:r>
      <w:r w:rsidRPr="005F4F4A">
        <w:rPr>
          <w:i/>
          <w:iCs/>
          <w:color w:val="000000"/>
        </w:rPr>
        <w:t>The Rise and Decline of Nations: Economic Growth, Stagflation, and Social Rigidities</w:t>
      </w:r>
      <w:r w:rsidRPr="005F4F4A">
        <w:rPr>
          <w:color w:val="000000"/>
        </w:rPr>
        <w:t>. New Haven</w:t>
      </w:r>
      <w:r w:rsidR="009123AB">
        <w:rPr>
          <w:color w:val="000000"/>
        </w:rPr>
        <w:t>, CT</w:t>
      </w:r>
      <w:r w:rsidRPr="005F4F4A">
        <w:rPr>
          <w:color w:val="000000"/>
        </w:rPr>
        <w:t>: Yale University Press.</w:t>
      </w:r>
    </w:p>
    <w:p w14:paraId="6A72CFE3" w14:textId="14115E84" w:rsidR="00AF5654" w:rsidRDefault="00AF5654" w:rsidP="00BD2B9F">
      <w:pPr>
        <w:pStyle w:val="NormalWeb"/>
        <w:ind w:left="450" w:hanging="450"/>
        <w:jc w:val="both"/>
        <w:rPr>
          <w:color w:val="000000"/>
        </w:rPr>
      </w:pPr>
      <w:r>
        <w:rPr>
          <w:color w:val="000000"/>
        </w:rPr>
        <w:t>Perotti, Roberto. 1996. "Growth, Income Distribution, and Democracy: What the Data Say."</w:t>
      </w:r>
      <w:r>
        <w:rPr>
          <w:rStyle w:val="apple-converted-space"/>
          <w:color w:val="000000"/>
        </w:rPr>
        <w:t> </w:t>
      </w:r>
      <w:r>
        <w:rPr>
          <w:i/>
          <w:iCs/>
          <w:color w:val="000000"/>
        </w:rPr>
        <w:t>Journal of Economic Growth</w:t>
      </w:r>
      <w:r>
        <w:rPr>
          <w:rStyle w:val="apple-converted-space"/>
          <w:color w:val="000000"/>
        </w:rPr>
        <w:t> </w:t>
      </w:r>
      <w:r>
        <w:rPr>
          <w:color w:val="000000"/>
        </w:rPr>
        <w:t>1(2):</w:t>
      </w:r>
      <w:r w:rsidR="00BE62AA">
        <w:rPr>
          <w:color w:val="000000"/>
        </w:rPr>
        <w:t xml:space="preserve"> </w:t>
      </w:r>
      <w:r>
        <w:rPr>
          <w:color w:val="000000"/>
        </w:rPr>
        <w:t>149-87.</w:t>
      </w:r>
    </w:p>
    <w:p w14:paraId="2C8F8869" w14:textId="62C66CFA" w:rsidR="00115B67" w:rsidRPr="00987596" w:rsidRDefault="00115B67" w:rsidP="00115B67">
      <w:pPr>
        <w:pStyle w:val="NormalWeb"/>
        <w:ind w:left="450" w:hanging="450"/>
        <w:jc w:val="both"/>
        <w:rPr>
          <w:color w:val="000000"/>
        </w:rPr>
      </w:pPr>
      <w:r>
        <w:rPr>
          <w:color w:val="000000"/>
        </w:rPr>
        <w:t xml:space="preserve">Piketty, Thomas. 2014. </w:t>
      </w:r>
      <w:r>
        <w:rPr>
          <w:i/>
          <w:color w:val="000000"/>
        </w:rPr>
        <w:t>Capital in the Twenty-First Century</w:t>
      </w:r>
      <w:r>
        <w:rPr>
          <w:color w:val="000000"/>
        </w:rPr>
        <w:t>. Cambridge</w:t>
      </w:r>
      <w:r w:rsidR="009123AB">
        <w:rPr>
          <w:color w:val="000000"/>
        </w:rPr>
        <w:t>, MA</w:t>
      </w:r>
      <w:r>
        <w:rPr>
          <w:color w:val="000000"/>
        </w:rPr>
        <w:t>: Harvard University Press.</w:t>
      </w:r>
    </w:p>
    <w:p w14:paraId="639BC79A" w14:textId="7963A925" w:rsidR="002D7707" w:rsidRDefault="002D7707" w:rsidP="00BD2B9F">
      <w:pPr>
        <w:pStyle w:val="NormalWeb"/>
        <w:ind w:left="450" w:hanging="450"/>
        <w:jc w:val="both"/>
        <w:rPr>
          <w:color w:val="000000"/>
        </w:rPr>
      </w:pPr>
      <w:r w:rsidRPr="009C1199">
        <w:rPr>
          <w:color w:val="000000"/>
        </w:rPr>
        <w:t>Plümper, Thomas, Vera E. Troeger, and Philip Manow. 2005. "Panel Data Analysis in Comparative Politics: Linking Method to Theory."</w:t>
      </w:r>
      <w:r w:rsidRPr="009C1199">
        <w:rPr>
          <w:rStyle w:val="apple-converted-space"/>
          <w:color w:val="000000"/>
        </w:rPr>
        <w:t> </w:t>
      </w:r>
      <w:r w:rsidRPr="009C1199">
        <w:rPr>
          <w:i/>
          <w:iCs/>
          <w:color w:val="000000"/>
        </w:rPr>
        <w:t>European Journal of Political Research</w:t>
      </w:r>
      <w:r w:rsidRPr="009C1199">
        <w:rPr>
          <w:rStyle w:val="apple-converted-space"/>
          <w:color w:val="000000"/>
        </w:rPr>
        <w:t> </w:t>
      </w:r>
      <w:r>
        <w:rPr>
          <w:color w:val="000000"/>
        </w:rPr>
        <w:t>44(2)</w:t>
      </w:r>
      <w:r w:rsidRPr="009C1199">
        <w:rPr>
          <w:color w:val="000000"/>
        </w:rPr>
        <w:t>:</w:t>
      </w:r>
      <w:r w:rsidR="00BE62AA">
        <w:rPr>
          <w:color w:val="000000"/>
        </w:rPr>
        <w:t xml:space="preserve"> </w:t>
      </w:r>
      <w:r w:rsidRPr="009C1199">
        <w:rPr>
          <w:color w:val="000000"/>
        </w:rPr>
        <w:t>327-54.</w:t>
      </w:r>
    </w:p>
    <w:p w14:paraId="6A453BB4" w14:textId="77777777" w:rsidR="00B639DA" w:rsidRPr="00B639DA" w:rsidRDefault="00B639DA" w:rsidP="00BD2B9F">
      <w:pPr>
        <w:pStyle w:val="NormalWeb"/>
        <w:ind w:left="450" w:hanging="450"/>
        <w:jc w:val="both"/>
        <w:rPr>
          <w:color w:val="000000"/>
        </w:rPr>
      </w:pPr>
      <w:r>
        <w:rPr>
          <w:lang w:eastAsia="ko-KR"/>
        </w:rPr>
        <w:t xml:space="preserve">Podestà, Federico. 2006. “Comparing Time Series Cross-Section Model Specifications: The Case of Welfare State Development.” </w:t>
      </w:r>
      <w:r>
        <w:rPr>
          <w:i/>
          <w:lang w:eastAsia="ko-KR"/>
        </w:rPr>
        <w:t>Quality &amp; Quantity</w:t>
      </w:r>
      <w:r>
        <w:rPr>
          <w:lang w:eastAsia="ko-KR"/>
        </w:rPr>
        <w:t xml:space="preserve"> 40: 539-59.</w:t>
      </w:r>
    </w:p>
    <w:p w14:paraId="7D1063A5" w14:textId="7F5CDD4F" w:rsidR="002D7707" w:rsidRPr="009C1199" w:rsidRDefault="002D7707" w:rsidP="00BD2B9F">
      <w:pPr>
        <w:pStyle w:val="NormalWeb"/>
        <w:ind w:left="450" w:hanging="450"/>
        <w:jc w:val="both"/>
        <w:rPr>
          <w:color w:val="000000"/>
        </w:rPr>
      </w:pPr>
      <w:r w:rsidRPr="009C1199">
        <w:rPr>
          <w:color w:val="000000"/>
        </w:rPr>
        <w:t>Pontusson, Jonas, and David Rueda. 2010. "The Politics of Inequality: Voter Mobilization and Left Parties in Advanced Industrial States."</w:t>
      </w:r>
      <w:r w:rsidRPr="009C1199">
        <w:rPr>
          <w:rStyle w:val="apple-converted-space"/>
          <w:color w:val="000000"/>
        </w:rPr>
        <w:t> </w:t>
      </w:r>
      <w:r w:rsidRPr="009C1199">
        <w:rPr>
          <w:i/>
          <w:iCs/>
          <w:color w:val="000000"/>
        </w:rPr>
        <w:t>Comparative Political Studies</w:t>
      </w:r>
      <w:r w:rsidRPr="009C1199">
        <w:rPr>
          <w:rStyle w:val="apple-converted-space"/>
          <w:color w:val="000000"/>
        </w:rPr>
        <w:t> </w:t>
      </w:r>
      <w:r w:rsidRPr="009C1199">
        <w:rPr>
          <w:color w:val="000000"/>
        </w:rPr>
        <w:t>43(6):</w:t>
      </w:r>
      <w:r w:rsidR="00BE62AA">
        <w:rPr>
          <w:color w:val="000000"/>
        </w:rPr>
        <w:t xml:space="preserve"> </w:t>
      </w:r>
      <w:r w:rsidRPr="009C1199">
        <w:rPr>
          <w:color w:val="000000"/>
        </w:rPr>
        <w:t>675-705.</w:t>
      </w:r>
    </w:p>
    <w:p w14:paraId="382F976F" w14:textId="28A31D0E" w:rsidR="002D7707" w:rsidRPr="009C1199" w:rsidRDefault="002D7707" w:rsidP="00BD2B9F">
      <w:pPr>
        <w:pStyle w:val="NormalWeb"/>
        <w:ind w:left="450" w:hanging="450"/>
        <w:jc w:val="both"/>
        <w:rPr>
          <w:color w:val="000000"/>
        </w:rPr>
      </w:pPr>
      <w:r w:rsidRPr="009C1199">
        <w:rPr>
          <w:color w:val="000000"/>
        </w:rPr>
        <w:t>Rodrik, Dani. 1998. "Why do More Open Economies have Bigger Governments?"</w:t>
      </w:r>
      <w:r w:rsidRPr="009C1199">
        <w:rPr>
          <w:rStyle w:val="apple-converted-space"/>
          <w:color w:val="000000"/>
        </w:rPr>
        <w:t> </w:t>
      </w:r>
      <w:r w:rsidRPr="009C1199">
        <w:rPr>
          <w:i/>
          <w:iCs/>
          <w:color w:val="000000"/>
        </w:rPr>
        <w:t>The Journal of Political Economy</w:t>
      </w:r>
      <w:r w:rsidRPr="009C1199">
        <w:rPr>
          <w:rStyle w:val="apple-converted-space"/>
          <w:color w:val="000000"/>
        </w:rPr>
        <w:t> </w:t>
      </w:r>
      <w:r>
        <w:rPr>
          <w:color w:val="000000"/>
        </w:rPr>
        <w:t>106(5)</w:t>
      </w:r>
      <w:r w:rsidRPr="009C1199">
        <w:rPr>
          <w:color w:val="000000"/>
        </w:rPr>
        <w:t>:</w:t>
      </w:r>
      <w:r w:rsidR="00BE62AA">
        <w:rPr>
          <w:color w:val="000000"/>
        </w:rPr>
        <w:t xml:space="preserve"> </w:t>
      </w:r>
      <w:r w:rsidRPr="009C1199">
        <w:rPr>
          <w:color w:val="000000"/>
        </w:rPr>
        <w:t>997-1032.</w:t>
      </w:r>
    </w:p>
    <w:p w14:paraId="14D15944" w14:textId="149E7795" w:rsidR="002D7707" w:rsidRPr="009C1199" w:rsidRDefault="002D7707" w:rsidP="00BD2B9F">
      <w:pPr>
        <w:pStyle w:val="NormalWeb"/>
        <w:ind w:left="450" w:hanging="450"/>
        <w:jc w:val="both"/>
        <w:rPr>
          <w:color w:val="000000"/>
        </w:rPr>
      </w:pPr>
      <w:r w:rsidRPr="009C1199">
        <w:rPr>
          <w:color w:val="000000"/>
        </w:rPr>
        <w:lastRenderedPageBreak/>
        <w:t>Roodman, David. 2009. "How to do xtabond2: An Introduction to Difference and System GMM in Stata."</w:t>
      </w:r>
      <w:r w:rsidRPr="009C1199">
        <w:rPr>
          <w:rStyle w:val="apple-converted-space"/>
          <w:color w:val="000000"/>
        </w:rPr>
        <w:t> </w:t>
      </w:r>
      <w:r w:rsidRPr="009C1199">
        <w:rPr>
          <w:i/>
          <w:iCs/>
          <w:color w:val="000000"/>
        </w:rPr>
        <w:t>The Stata Journal</w:t>
      </w:r>
      <w:r w:rsidRPr="009C1199">
        <w:rPr>
          <w:rStyle w:val="apple-converted-space"/>
          <w:color w:val="000000"/>
        </w:rPr>
        <w:t> </w:t>
      </w:r>
      <w:r w:rsidRPr="009C1199">
        <w:rPr>
          <w:color w:val="000000"/>
        </w:rPr>
        <w:t>9(1):</w:t>
      </w:r>
      <w:r w:rsidR="00BE62AA">
        <w:rPr>
          <w:color w:val="000000"/>
        </w:rPr>
        <w:t xml:space="preserve"> </w:t>
      </w:r>
      <w:r w:rsidRPr="009C1199">
        <w:rPr>
          <w:color w:val="000000"/>
        </w:rPr>
        <w:t>86-136.</w:t>
      </w:r>
    </w:p>
    <w:p w14:paraId="3E5A344F" w14:textId="1E5E4C46" w:rsidR="002D7707" w:rsidRPr="009C1199" w:rsidRDefault="002D7707" w:rsidP="00BD2B9F">
      <w:pPr>
        <w:pStyle w:val="NormalWeb"/>
        <w:ind w:left="450" w:hanging="450"/>
        <w:jc w:val="both"/>
        <w:rPr>
          <w:color w:val="000000"/>
        </w:rPr>
      </w:pPr>
      <w:r w:rsidRPr="009C1199">
        <w:rPr>
          <w:color w:val="000000"/>
        </w:rPr>
        <w:t>Rudra, Nita. 2002. "Globalization and the Decline of the Welfare State in Less-Developed Countries."</w:t>
      </w:r>
      <w:r w:rsidRPr="009C1199">
        <w:rPr>
          <w:rStyle w:val="apple-converted-space"/>
          <w:color w:val="000000"/>
        </w:rPr>
        <w:t> </w:t>
      </w:r>
      <w:r w:rsidRPr="009C1199">
        <w:rPr>
          <w:i/>
          <w:iCs/>
          <w:color w:val="000000"/>
        </w:rPr>
        <w:t>International Organization</w:t>
      </w:r>
      <w:r w:rsidRPr="009C1199">
        <w:rPr>
          <w:rStyle w:val="apple-converted-space"/>
          <w:color w:val="000000"/>
        </w:rPr>
        <w:t> </w:t>
      </w:r>
      <w:r>
        <w:rPr>
          <w:color w:val="000000"/>
        </w:rPr>
        <w:t>56(2)</w:t>
      </w:r>
      <w:r w:rsidRPr="009C1199">
        <w:rPr>
          <w:color w:val="000000"/>
        </w:rPr>
        <w:t>:</w:t>
      </w:r>
      <w:r w:rsidR="00BE62AA">
        <w:rPr>
          <w:color w:val="000000"/>
        </w:rPr>
        <w:t xml:space="preserve"> </w:t>
      </w:r>
      <w:r w:rsidRPr="009C1199">
        <w:rPr>
          <w:color w:val="000000"/>
        </w:rPr>
        <w:t>411-45.</w:t>
      </w:r>
    </w:p>
    <w:p w14:paraId="259593CA" w14:textId="22A0D54D" w:rsidR="002D7707" w:rsidRPr="009C1199" w:rsidRDefault="009123AB" w:rsidP="00BD2B9F">
      <w:pPr>
        <w:pStyle w:val="NormalWeb"/>
        <w:ind w:left="450" w:hanging="450"/>
        <w:jc w:val="both"/>
        <w:rPr>
          <w:color w:val="000000"/>
        </w:rPr>
      </w:pPr>
      <w:r w:rsidRPr="009C1199">
        <w:rPr>
          <w:color w:val="000000"/>
        </w:rPr>
        <w:t>Rudra, Nita</w:t>
      </w:r>
      <w:r w:rsidR="002D7707" w:rsidRPr="009C1199">
        <w:rPr>
          <w:color w:val="000000"/>
        </w:rPr>
        <w:t xml:space="preserve">. 2007. "Welfare States in Developing Countries: Unique </w:t>
      </w:r>
      <w:r w:rsidR="003C1320" w:rsidRPr="009C1199">
        <w:rPr>
          <w:color w:val="000000"/>
        </w:rPr>
        <w:t>or</w:t>
      </w:r>
      <w:r w:rsidR="002D7707" w:rsidRPr="009C1199">
        <w:rPr>
          <w:color w:val="000000"/>
        </w:rPr>
        <w:t xml:space="preserve"> Universal?"</w:t>
      </w:r>
      <w:r w:rsidR="002D7707" w:rsidRPr="009C1199">
        <w:rPr>
          <w:rStyle w:val="apple-converted-space"/>
          <w:color w:val="000000"/>
        </w:rPr>
        <w:t> </w:t>
      </w:r>
      <w:r w:rsidR="002D7707" w:rsidRPr="009C1199">
        <w:rPr>
          <w:i/>
          <w:iCs/>
          <w:color w:val="000000"/>
        </w:rPr>
        <w:t>Journal of Politics</w:t>
      </w:r>
      <w:r w:rsidR="002D7707" w:rsidRPr="009C1199">
        <w:rPr>
          <w:rStyle w:val="apple-converted-space"/>
          <w:color w:val="000000"/>
        </w:rPr>
        <w:t> </w:t>
      </w:r>
      <w:r w:rsidR="002D7707" w:rsidRPr="009C1199">
        <w:rPr>
          <w:color w:val="000000"/>
        </w:rPr>
        <w:t>69(2):</w:t>
      </w:r>
      <w:r w:rsidR="00BE62AA">
        <w:rPr>
          <w:color w:val="000000"/>
        </w:rPr>
        <w:t xml:space="preserve"> </w:t>
      </w:r>
      <w:r w:rsidR="002D7707" w:rsidRPr="009C1199">
        <w:rPr>
          <w:color w:val="000000"/>
        </w:rPr>
        <w:t>378-96.</w:t>
      </w:r>
    </w:p>
    <w:p w14:paraId="76538518" w14:textId="0F23A379" w:rsidR="002D7707" w:rsidRPr="009C1199" w:rsidRDefault="002D7707" w:rsidP="00BD2B9F">
      <w:pPr>
        <w:pStyle w:val="NormalWeb"/>
        <w:ind w:left="450" w:hanging="450"/>
        <w:jc w:val="both"/>
        <w:rPr>
          <w:color w:val="000000"/>
        </w:rPr>
      </w:pPr>
      <w:r w:rsidRPr="009C1199">
        <w:rPr>
          <w:color w:val="000000"/>
        </w:rPr>
        <w:t>Rueda, David. 2008. "Left Government, Policy, and Corporatism: Explaining the Influence of Partisanship on Inequality."</w:t>
      </w:r>
      <w:r w:rsidRPr="009C1199">
        <w:rPr>
          <w:rStyle w:val="apple-converted-space"/>
          <w:color w:val="000000"/>
        </w:rPr>
        <w:t> </w:t>
      </w:r>
      <w:r w:rsidRPr="009C1199">
        <w:rPr>
          <w:i/>
          <w:iCs/>
          <w:color w:val="000000"/>
        </w:rPr>
        <w:t>World Politics</w:t>
      </w:r>
      <w:r w:rsidRPr="009C1199">
        <w:rPr>
          <w:rStyle w:val="apple-converted-space"/>
          <w:color w:val="000000"/>
        </w:rPr>
        <w:t> </w:t>
      </w:r>
      <w:r w:rsidRPr="009C1199">
        <w:rPr>
          <w:color w:val="000000"/>
        </w:rPr>
        <w:t>60(3):</w:t>
      </w:r>
      <w:r w:rsidR="00BE62AA">
        <w:rPr>
          <w:color w:val="000000"/>
        </w:rPr>
        <w:t xml:space="preserve"> </w:t>
      </w:r>
      <w:r w:rsidRPr="009C1199">
        <w:rPr>
          <w:color w:val="000000"/>
        </w:rPr>
        <w:t>349-89.</w:t>
      </w:r>
    </w:p>
    <w:p w14:paraId="7D25EC51" w14:textId="3C32CAE1" w:rsidR="002D7707" w:rsidRPr="009C1199" w:rsidRDefault="002D7707" w:rsidP="00BD2B9F">
      <w:pPr>
        <w:pStyle w:val="NormalWeb"/>
        <w:ind w:left="450" w:hanging="450"/>
        <w:jc w:val="both"/>
        <w:rPr>
          <w:color w:val="000000"/>
        </w:rPr>
      </w:pPr>
      <w:r w:rsidRPr="009C1199">
        <w:rPr>
          <w:color w:val="000000"/>
        </w:rPr>
        <w:t>Saunders, Peter. 2010. "</w:t>
      </w:r>
      <w:r w:rsidR="003C1320" w:rsidRPr="009C1199">
        <w:rPr>
          <w:color w:val="000000"/>
        </w:rPr>
        <w:t>Inequality</w:t>
      </w:r>
      <w:r w:rsidRPr="009C1199">
        <w:rPr>
          <w:color w:val="000000"/>
        </w:rPr>
        <w:t xml:space="preserve"> and Poverty." In</w:t>
      </w:r>
      <w:r w:rsidRPr="009C1199">
        <w:rPr>
          <w:rStyle w:val="apple-converted-space"/>
          <w:color w:val="000000"/>
        </w:rPr>
        <w:t> </w:t>
      </w:r>
      <w:r w:rsidRPr="009C1199">
        <w:rPr>
          <w:i/>
          <w:iCs/>
          <w:color w:val="000000"/>
        </w:rPr>
        <w:t>The Oxford Handbook of the Welfare State,</w:t>
      </w:r>
      <w:r w:rsidRPr="009C1199">
        <w:rPr>
          <w:rStyle w:val="apple-converted-space"/>
          <w:color w:val="000000"/>
        </w:rPr>
        <w:t> </w:t>
      </w:r>
      <w:r w:rsidRPr="009C1199">
        <w:rPr>
          <w:color w:val="000000"/>
        </w:rPr>
        <w:t>ed</w:t>
      </w:r>
      <w:r w:rsidR="00A5728D">
        <w:rPr>
          <w:color w:val="000000"/>
        </w:rPr>
        <w:t>ited by</w:t>
      </w:r>
      <w:r w:rsidRPr="009C1199">
        <w:rPr>
          <w:color w:val="000000"/>
        </w:rPr>
        <w:t xml:space="preserve"> Francis G. Castles, Stephan Leibfried, Jane Lewis, Herbert Obinger and Christopher Pierson</w:t>
      </w:r>
      <w:r w:rsidR="00A5728D">
        <w:rPr>
          <w:color w:val="000000"/>
        </w:rPr>
        <w:t>, 526-38</w:t>
      </w:r>
      <w:r w:rsidRPr="009C1199">
        <w:rPr>
          <w:color w:val="000000"/>
        </w:rPr>
        <w:t>. Oxford</w:t>
      </w:r>
      <w:r w:rsidR="009123AB">
        <w:rPr>
          <w:color w:val="000000"/>
        </w:rPr>
        <w:t>, U.K.</w:t>
      </w:r>
      <w:r w:rsidRPr="009C1199">
        <w:rPr>
          <w:color w:val="000000"/>
        </w:rPr>
        <w:t>: Oxford University Press.</w:t>
      </w:r>
    </w:p>
    <w:p w14:paraId="32E7D058" w14:textId="65430AC8" w:rsidR="002D7707" w:rsidRPr="009C1199" w:rsidRDefault="002D7707" w:rsidP="00BD2B9F">
      <w:pPr>
        <w:pStyle w:val="NormalWeb"/>
        <w:ind w:left="450" w:hanging="450"/>
        <w:jc w:val="both"/>
        <w:rPr>
          <w:color w:val="000000"/>
        </w:rPr>
      </w:pPr>
      <w:r w:rsidRPr="009C1199">
        <w:rPr>
          <w:color w:val="000000"/>
        </w:rPr>
        <w:t>Schmidt-Catran, Alexander W. 2016. "Economic Inequality and Public Demand for Redistribution: Combining Cross-Sectional and Longitudinal Evidence."</w:t>
      </w:r>
      <w:r w:rsidRPr="009C1199">
        <w:rPr>
          <w:rStyle w:val="apple-converted-space"/>
          <w:color w:val="000000"/>
        </w:rPr>
        <w:t> </w:t>
      </w:r>
      <w:r w:rsidRPr="009C1199">
        <w:rPr>
          <w:i/>
          <w:iCs/>
          <w:color w:val="000000"/>
        </w:rPr>
        <w:t>Socio-Economic Review</w:t>
      </w:r>
      <w:r w:rsidRPr="009C1199">
        <w:rPr>
          <w:rStyle w:val="apple-converted-space"/>
          <w:color w:val="000000"/>
        </w:rPr>
        <w:t> </w:t>
      </w:r>
      <w:r w:rsidRPr="009C1199">
        <w:rPr>
          <w:color w:val="000000"/>
        </w:rPr>
        <w:t>14(1):</w:t>
      </w:r>
      <w:r w:rsidR="00BE62AA">
        <w:rPr>
          <w:color w:val="000000"/>
        </w:rPr>
        <w:t xml:space="preserve"> </w:t>
      </w:r>
      <w:r w:rsidRPr="009C1199">
        <w:rPr>
          <w:color w:val="000000"/>
        </w:rPr>
        <w:t>119-40.</w:t>
      </w:r>
    </w:p>
    <w:p w14:paraId="02308F9F" w14:textId="039DE7F8" w:rsidR="002D7707" w:rsidRPr="009C1199" w:rsidRDefault="002D7707" w:rsidP="00BD2B9F">
      <w:pPr>
        <w:pStyle w:val="NormalWeb"/>
        <w:ind w:left="450" w:hanging="450"/>
        <w:jc w:val="both"/>
        <w:rPr>
          <w:color w:val="000000"/>
        </w:rPr>
      </w:pPr>
      <w:r w:rsidRPr="009C1199">
        <w:rPr>
          <w:color w:val="000000"/>
        </w:rPr>
        <w:t>Segura-Ubiergo, Alex. 2007.</w:t>
      </w:r>
      <w:r w:rsidRPr="009C1199">
        <w:rPr>
          <w:rStyle w:val="apple-converted-space"/>
          <w:color w:val="000000"/>
        </w:rPr>
        <w:t> </w:t>
      </w:r>
      <w:r w:rsidRPr="009C1199">
        <w:rPr>
          <w:i/>
          <w:iCs/>
          <w:color w:val="000000"/>
        </w:rPr>
        <w:t>The Political Economy of the Welfare State in Latin America: Globalization, Democracy, and Development</w:t>
      </w:r>
      <w:r w:rsidRPr="009C1199">
        <w:rPr>
          <w:color w:val="000000"/>
        </w:rPr>
        <w:t>. New York</w:t>
      </w:r>
      <w:r w:rsidR="009123AB">
        <w:rPr>
          <w:color w:val="000000"/>
        </w:rPr>
        <w:t>, NY</w:t>
      </w:r>
      <w:r w:rsidRPr="009C1199">
        <w:rPr>
          <w:color w:val="000000"/>
        </w:rPr>
        <w:t>: Cambridge University Press.</w:t>
      </w:r>
    </w:p>
    <w:p w14:paraId="1C027D76" w14:textId="580192D7" w:rsidR="002D7707" w:rsidRPr="009C1199" w:rsidRDefault="002D7707" w:rsidP="00BD2B9F">
      <w:pPr>
        <w:pStyle w:val="NormalWeb"/>
        <w:ind w:left="450" w:hanging="450"/>
        <w:jc w:val="both"/>
        <w:rPr>
          <w:color w:val="000000"/>
        </w:rPr>
      </w:pPr>
      <w:r w:rsidRPr="009C1199">
        <w:rPr>
          <w:color w:val="000000"/>
        </w:rPr>
        <w:t>Shayo, Moses. 2009. "A Model of Social Identity with an Application to Political Economy: Nation, Class, and Redistribution."</w:t>
      </w:r>
      <w:r w:rsidRPr="009C1199">
        <w:rPr>
          <w:rStyle w:val="apple-converted-space"/>
          <w:color w:val="000000"/>
        </w:rPr>
        <w:t> </w:t>
      </w:r>
      <w:r w:rsidRPr="009C1199">
        <w:rPr>
          <w:i/>
          <w:iCs/>
          <w:color w:val="000000"/>
        </w:rPr>
        <w:t>American Political Science Review</w:t>
      </w:r>
      <w:r w:rsidRPr="009C1199">
        <w:rPr>
          <w:rStyle w:val="apple-converted-space"/>
          <w:color w:val="000000"/>
        </w:rPr>
        <w:t> </w:t>
      </w:r>
      <w:r w:rsidRPr="009C1199">
        <w:rPr>
          <w:color w:val="000000"/>
        </w:rPr>
        <w:t>103(2):</w:t>
      </w:r>
      <w:r w:rsidR="00BE62AA">
        <w:rPr>
          <w:color w:val="000000"/>
        </w:rPr>
        <w:t xml:space="preserve"> </w:t>
      </w:r>
      <w:r w:rsidRPr="009C1199">
        <w:rPr>
          <w:color w:val="000000"/>
        </w:rPr>
        <w:t>147-74.</w:t>
      </w:r>
    </w:p>
    <w:p w14:paraId="2693E246" w14:textId="4F6B296E" w:rsidR="002D7707" w:rsidRPr="009C1199" w:rsidRDefault="002D7707" w:rsidP="00BD2B9F">
      <w:pPr>
        <w:pStyle w:val="NormalWeb"/>
        <w:ind w:left="450" w:hanging="450"/>
        <w:jc w:val="both"/>
        <w:rPr>
          <w:color w:val="000000"/>
        </w:rPr>
      </w:pPr>
      <w:r w:rsidRPr="009C1199">
        <w:rPr>
          <w:color w:val="000000"/>
        </w:rPr>
        <w:t>Solt, Frederick. 2008. "Economic Inequality and Democratic Political Engagement."</w:t>
      </w:r>
      <w:r w:rsidRPr="009C1199">
        <w:rPr>
          <w:rStyle w:val="apple-converted-space"/>
          <w:color w:val="000000"/>
        </w:rPr>
        <w:t> </w:t>
      </w:r>
      <w:r w:rsidRPr="009C1199">
        <w:rPr>
          <w:i/>
          <w:iCs/>
          <w:color w:val="000000"/>
        </w:rPr>
        <w:t>American Journal of Political Science</w:t>
      </w:r>
      <w:r w:rsidRPr="009C1199">
        <w:rPr>
          <w:rStyle w:val="apple-converted-space"/>
          <w:color w:val="000000"/>
        </w:rPr>
        <w:t> </w:t>
      </w:r>
      <w:r w:rsidRPr="009C1199">
        <w:rPr>
          <w:color w:val="000000"/>
        </w:rPr>
        <w:t>52(1):</w:t>
      </w:r>
      <w:r w:rsidR="00BE62AA">
        <w:rPr>
          <w:color w:val="000000"/>
        </w:rPr>
        <w:t xml:space="preserve"> </w:t>
      </w:r>
      <w:r w:rsidRPr="009C1199">
        <w:rPr>
          <w:color w:val="000000"/>
        </w:rPr>
        <w:t>48-60.</w:t>
      </w:r>
    </w:p>
    <w:p w14:paraId="125C7013" w14:textId="5D8D48F2" w:rsidR="002D7707" w:rsidRPr="009C1199" w:rsidRDefault="009123AB" w:rsidP="00BD2B9F">
      <w:pPr>
        <w:pStyle w:val="NormalWeb"/>
        <w:ind w:left="450" w:hanging="450"/>
        <w:jc w:val="both"/>
        <w:rPr>
          <w:color w:val="000000"/>
        </w:rPr>
      </w:pPr>
      <w:r w:rsidRPr="009C1199">
        <w:rPr>
          <w:color w:val="000000"/>
        </w:rPr>
        <w:t>Solt, Frederick</w:t>
      </w:r>
      <w:r>
        <w:rPr>
          <w:color w:val="000000"/>
        </w:rPr>
        <w:t xml:space="preserve">. </w:t>
      </w:r>
      <w:r w:rsidR="002D7707" w:rsidRPr="009C1199">
        <w:rPr>
          <w:color w:val="000000"/>
        </w:rPr>
        <w:t>201</w:t>
      </w:r>
      <w:r w:rsidR="002D7707">
        <w:rPr>
          <w:color w:val="000000"/>
        </w:rPr>
        <w:t>6</w:t>
      </w:r>
      <w:r w:rsidR="002D7707" w:rsidRPr="009C1199">
        <w:rPr>
          <w:color w:val="000000"/>
        </w:rPr>
        <w:t>.</w:t>
      </w:r>
      <w:r w:rsidR="002D7707" w:rsidRPr="009C1199">
        <w:rPr>
          <w:rStyle w:val="apple-converted-space"/>
          <w:color w:val="000000"/>
        </w:rPr>
        <w:t> </w:t>
      </w:r>
      <w:r w:rsidR="002D7707">
        <w:rPr>
          <w:color w:val="282828"/>
          <w:shd w:val="clear" w:color="auto" w:fill="FFFFFF"/>
        </w:rPr>
        <w:t xml:space="preserve">“The </w:t>
      </w:r>
      <w:r w:rsidR="002D7707" w:rsidRPr="00DE6E35">
        <w:rPr>
          <w:color w:val="282828"/>
          <w:shd w:val="clear" w:color="auto" w:fill="FFFFFF"/>
        </w:rPr>
        <w:t>Standardized World Income Inequality Database.”</w:t>
      </w:r>
      <w:r w:rsidR="002D7707" w:rsidRPr="00DE6E35">
        <w:rPr>
          <w:rStyle w:val="apple-converted-space"/>
          <w:color w:val="282828"/>
          <w:shd w:val="clear" w:color="auto" w:fill="FFFFFF"/>
        </w:rPr>
        <w:t> </w:t>
      </w:r>
      <w:r w:rsidR="002D7707" w:rsidRPr="00DE6E35">
        <w:rPr>
          <w:rStyle w:val="Emphasis"/>
          <w:color w:val="282828"/>
          <w:shd w:val="clear" w:color="auto" w:fill="FFFFFF"/>
        </w:rPr>
        <w:t>Social Science Quarterly</w:t>
      </w:r>
      <w:r w:rsidR="002D7707" w:rsidRPr="00DE6E35">
        <w:rPr>
          <w:rStyle w:val="apple-converted-space"/>
          <w:color w:val="282828"/>
          <w:shd w:val="clear" w:color="auto" w:fill="FFFFFF"/>
        </w:rPr>
        <w:t> </w:t>
      </w:r>
      <w:r w:rsidR="002D7707" w:rsidRPr="00DE6E35">
        <w:rPr>
          <w:color w:val="282828"/>
          <w:shd w:val="clear" w:color="auto" w:fill="FFFFFF"/>
        </w:rPr>
        <w:t>97</w:t>
      </w:r>
      <w:r w:rsidR="002D7707" w:rsidRPr="00DE6E35">
        <w:t xml:space="preserve"> </w:t>
      </w:r>
      <w:r w:rsidR="002D7707" w:rsidRPr="00DE6E35">
        <w:rPr>
          <w:shd w:val="clear" w:color="auto" w:fill="FFFFFF"/>
        </w:rPr>
        <w:t>(5):1267-1281.</w:t>
      </w:r>
      <w:r w:rsidR="002D7707" w:rsidRPr="00DE6E35">
        <w:rPr>
          <w:color w:val="282828"/>
          <w:shd w:val="clear" w:color="auto" w:fill="FFFFFF"/>
        </w:rPr>
        <w:t xml:space="preserve"> </w:t>
      </w:r>
      <w:r w:rsidR="00067518">
        <w:rPr>
          <w:color w:val="282828"/>
          <w:shd w:val="clear" w:color="auto" w:fill="FFFFFF"/>
        </w:rPr>
        <w:t>Last modified July 2016 (v</w:t>
      </w:r>
      <w:r w:rsidR="002D7707" w:rsidRPr="00DE6E35">
        <w:rPr>
          <w:color w:val="282828"/>
          <w:shd w:val="clear" w:color="auto" w:fill="FFFFFF"/>
        </w:rPr>
        <w:t>ersion 5.1</w:t>
      </w:r>
      <w:r w:rsidR="00067518">
        <w:rPr>
          <w:color w:val="282828"/>
          <w:shd w:val="clear" w:color="auto" w:fill="FFFFFF"/>
        </w:rPr>
        <w:t>)</w:t>
      </w:r>
      <w:r w:rsidR="002D7707" w:rsidRPr="00DE6E35">
        <w:rPr>
          <w:color w:val="282828"/>
          <w:shd w:val="clear" w:color="auto" w:fill="FFFFFF"/>
        </w:rPr>
        <w:t xml:space="preserve">, </w:t>
      </w:r>
      <w:r w:rsidR="00067518">
        <w:rPr>
          <w:color w:val="282828"/>
          <w:shd w:val="clear" w:color="auto" w:fill="FFFFFF"/>
        </w:rPr>
        <w:t>accessed May 23, 2017</w:t>
      </w:r>
      <w:r w:rsidR="00067518">
        <w:rPr>
          <w:color w:val="000000"/>
        </w:rPr>
        <w:t xml:space="preserve">, </w:t>
      </w:r>
      <w:r w:rsidR="00067518" w:rsidRPr="00067518">
        <w:rPr>
          <w:color w:val="000000"/>
        </w:rPr>
        <w:t>https://dataverse.harvard.edu/dataset.xhtml?persistentId=hdl:1902.1/11992</w:t>
      </w:r>
      <w:r w:rsidR="00067518">
        <w:rPr>
          <w:color w:val="000000"/>
        </w:rPr>
        <w:t>.</w:t>
      </w:r>
    </w:p>
    <w:p w14:paraId="7F4437CE" w14:textId="5D214D4E" w:rsidR="002D7707" w:rsidRDefault="002D7707" w:rsidP="00BD2B9F">
      <w:pPr>
        <w:pStyle w:val="NormalWeb"/>
        <w:ind w:left="450" w:hanging="450"/>
        <w:jc w:val="both"/>
        <w:rPr>
          <w:color w:val="000000"/>
        </w:rPr>
      </w:pPr>
      <w:r w:rsidRPr="009C1199">
        <w:rPr>
          <w:color w:val="000000"/>
        </w:rPr>
        <w:t>Staiger, Douglas, and James H. Stock. 1997. "Instrumental Variables Regression with Weak Instruments."</w:t>
      </w:r>
      <w:r w:rsidRPr="009C1199">
        <w:rPr>
          <w:rStyle w:val="apple-converted-space"/>
          <w:color w:val="000000"/>
        </w:rPr>
        <w:t> </w:t>
      </w:r>
      <w:r w:rsidRPr="009C1199">
        <w:rPr>
          <w:i/>
          <w:iCs/>
          <w:color w:val="000000"/>
        </w:rPr>
        <w:t>Econometrica</w:t>
      </w:r>
      <w:r w:rsidRPr="009C1199">
        <w:rPr>
          <w:rStyle w:val="apple-converted-space"/>
          <w:color w:val="000000"/>
        </w:rPr>
        <w:t> </w:t>
      </w:r>
      <w:r w:rsidRPr="009C1199">
        <w:rPr>
          <w:color w:val="000000"/>
        </w:rPr>
        <w:t>65(3):</w:t>
      </w:r>
      <w:r w:rsidR="00BE62AA">
        <w:rPr>
          <w:color w:val="000000"/>
        </w:rPr>
        <w:t xml:space="preserve"> </w:t>
      </w:r>
      <w:r w:rsidRPr="009C1199">
        <w:rPr>
          <w:color w:val="000000"/>
        </w:rPr>
        <w:t>557-86.</w:t>
      </w:r>
    </w:p>
    <w:p w14:paraId="771DCECC" w14:textId="619F9C33" w:rsidR="002D7707" w:rsidRDefault="002D7707" w:rsidP="00BD2B9F">
      <w:pPr>
        <w:pStyle w:val="NormalWeb"/>
        <w:ind w:left="450" w:hanging="450"/>
        <w:jc w:val="both"/>
        <w:rPr>
          <w:color w:val="000000"/>
        </w:rPr>
      </w:pPr>
      <w:r w:rsidRPr="009C1199">
        <w:rPr>
          <w:color w:val="000000"/>
        </w:rPr>
        <w:t>Swank, Duane H., and Sven Steinmo. 2002. "The New Political Economy of Taxation in Advanced Capitalist Democracies."</w:t>
      </w:r>
      <w:r w:rsidRPr="009C1199">
        <w:rPr>
          <w:rStyle w:val="apple-converted-space"/>
          <w:color w:val="000000"/>
        </w:rPr>
        <w:t> </w:t>
      </w:r>
      <w:r w:rsidRPr="009C1199">
        <w:rPr>
          <w:i/>
          <w:iCs/>
          <w:color w:val="000000"/>
        </w:rPr>
        <w:t>American Journal of Political Science</w:t>
      </w:r>
      <w:r w:rsidRPr="009C1199">
        <w:rPr>
          <w:rStyle w:val="apple-converted-space"/>
          <w:color w:val="000000"/>
        </w:rPr>
        <w:t> </w:t>
      </w:r>
      <w:r w:rsidRPr="009C1199">
        <w:rPr>
          <w:color w:val="000000"/>
        </w:rPr>
        <w:t>46(3):</w:t>
      </w:r>
      <w:r w:rsidR="00BE62AA">
        <w:rPr>
          <w:color w:val="000000"/>
        </w:rPr>
        <w:t xml:space="preserve"> </w:t>
      </w:r>
      <w:r w:rsidRPr="009C1199">
        <w:rPr>
          <w:color w:val="000000"/>
        </w:rPr>
        <w:t>642-55.</w:t>
      </w:r>
    </w:p>
    <w:p w14:paraId="4D9356C7" w14:textId="77777777" w:rsidR="002D7707" w:rsidRPr="009F6759" w:rsidRDefault="002D7707" w:rsidP="00BD2B9F">
      <w:pPr>
        <w:pStyle w:val="NormalWeb"/>
        <w:ind w:left="450" w:hanging="450"/>
        <w:jc w:val="both"/>
        <w:rPr>
          <w:color w:val="000000"/>
        </w:rPr>
      </w:pPr>
      <w:r w:rsidRPr="009F6759">
        <w:rPr>
          <w:color w:val="000000"/>
        </w:rPr>
        <w:t>Swank, Duane. 2015.</w:t>
      </w:r>
      <w:r w:rsidRPr="009F6759">
        <w:rPr>
          <w:rStyle w:val="apple-converted-space"/>
          <w:color w:val="000000"/>
        </w:rPr>
        <w:t> </w:t>
      </w:r>
      <w:r w:rsidRPr="009F6759">
        <w:rPr>
          <w:i/>
          <w:iCs/>
          <w:color w:val="000000"/>
        </w:rPr>
        <w:t xml:space="preserve">The </w:t>
      </w:r>
      <w:r>
        <w:rPr>
          <w:i/>
          <w:iCs/>
          <w:color w:val="000000"/>
        </w:rPr>
        <w:t>P</w:t>
      </w:r>
      <w:r w:rsidRPr="009F6759">
        <w:rPr>
          <w:i/>
          <w:iCs/>
          <w:color w:val="000000"/>
        </w:rPr>
        <w:t xml:space="preserve">olitical </w:t>
      </w:r>
      <w:r>
        <w:rPr>
          <w:i/>
          <w:iCs/>
          <w:color w:val="000000"/>
        </w:rPr>
        <w:t>F</w:t>
      </w:r>
      <w:r w:rsidRPr="009F6759">
        <w:rPr>
          <w:i/>
          <w:iCs/>
          <w:color w:val="000000"/>
        </w:rPr>
        <w:t xml:space="preserve">oundations of </w:t>
      </w:r>
      <w:r>
        <w:rPr>
          <w:i/>
          <w:iCs/>
          <w:color w:val="000000"/>
        </w:rPr>
        <w:t>R</w:t>
      </w:r>
      <w:r w:rsidRPr="009F6759">
        <w:rPr>
          <w:i/>
          <w:iCs/>
          <w:color w:val="000000"/>
        </w:rPr>
        <w:t xml:space="preserve">edistribution in </w:t>
      </w:r>
      <w:r>
        <w:rPr>
          <w:i/>
          <w:iCs/>
          <w:color w:val="000000"/>
        </w:rPr>
        <w:t>P</w:t>
      </w:r>
      <w:r w:rsidRPr="009F6759">
        <w:rPr>
          <w:i/>
          <w:iCs/>
          <w:color w:val="000000"/>
        </w:rPr>
        <w:t xml:space="preserve">ost-industrial </w:t>
      </w:r>
      <w:r>
        <w:rPr>
          <w:i/>
          <w:iCs/>
          <w:color w:val="000000"/>
        </w:rPr>
        <w:t>D</w:t>
      </w:r>
      <w:r w:rsidRPr="009F6759">
        <w:rPr>
          <w:i/>
          <w:iCs/>
          <w:color w:val="000000"/>
        </w:rPr>
        <w:t>emocracies.</w:t>
      </w:r>
      <w:r w:rsidRPr="009F6759">
        <w:rPr>
          <w:rStyle w:val="apple-converted-space"/>
          <w:i/>
          <w:iCs/>
          <w:color w:val="000000"/>
        </w:rPr>
        <w:t> </w:t>
      </w:r>
      <w:r w:rsidRPr="009F6759">
        <w:rPr>
          <w:color w:val="000000"/>
        </w:rPr>
        <w:t>Luxembourg Income Study</w:t>
      </w:r>
      <w:r>
        <w:rPr>
          <w:color w:val="000000"/>
        </w:rPr>
        <w:t>: LIS Working Paper Series</w:t>
      </w:r>
      <w:r w:rsidRPr="009F6759">
        <w:rPr>
          <w:color w:val="000000"/>
        </w:rPr>
        <w:t xml:space="preserve">, </w:t>
      </w:r>
      <w:r>
        <w:rPr>
          <w:color w:val="000000"/>
        </w:rPr>
        <w:t xml:space="preserve">No. </w:t>
      </w:r>
      <w:r w:rsidRPr="009F6759">
        <w:rPr>
          <w:color w:val="000000"/>
        </w:rPr>
        <w:t>653.</w:t>
      </w:r>
    </w:p>
    <w:p w14:paraId="2874F513" w14:textId="43383BD3" w:rsidR="002D7707" w:rsidRPr="009C1199" w:rsidRDefault="002D7707" w:rsidP="00BD2B9F">
      <w:pPr>
        <w:pStyle w:val="NormalWeb"/>
        <w:ind w:left="450" w:hanging="450"/>
        <w:jc w:val="both"/>
        <w:rPr>
          <w:color w:val="000000"/>
        </w:rPr>
      </w:pPr>
      <w:r w:rsidRPr="009C1199">
        <w:rPr>
          <w:color w:val="000000"/>
        </w:rPr>
        <w:t>Timmons, Jeffrey F. 2005. "The Fiscal Contract: States, Taxes, and Public Services."</w:t>
      </w:r>
      <w:r w:rsidRPr="009C1199">
        <w:rPr>
          <w:rStyle w:val="apple-converted-space"/>
          <w:color w:val="000000"/>
        </w:rPr>
        <w:t> </w:t>
      </w:r>
      <w:r w:rsidRPr="009C1199">
        <w:rPr>
          <w:i/>
          <w:iCs/>
          <w:color w:val="000000"/>
        </w:rPr>
        <w:t>World Politics</w:t>
      </w:r>
      <w:r w:rsidRPr="009C1199">
        <w:rPr>
          <w:rStyle w:val="apple-converted-space"/>
          <w:color w:val="000000"/>
        </w:rPr>
        <w:t> </w:t>
      </w:r>
      <w:r w:rsidRPr="009C1199">
        <w:rPr>
          <w:color w:val="000000"/>
        </w:rPr>
        <w:t>57(4):</w:t>
      </w:r>
      <w:r w:rsidR="00BE62AA">
        <w:rPr>
          <w:color w:val="000000"/>
        </w:rPr>
        <w:t xml:space="preserve"> </w:t>
      </w:r>
      <w:r w:rsidRPr="009C1199">
        <w:rPr>
          <w:color w:val="000000"/>
        </w:rPr>
        <w:t>530-67.</w:t>
      </w:r>
    </w:p>
    <w:p w14:paraId="29EA9925" w14:textId="5F5BEBB0" w:rsidR="002D7707" w:rsidRPr="009C1199" w:rsidRDefault="009123AB" w:rsidP="00BD2B9F">
      <w:pPr>
        <w:pStyle w:val="NormalWeb"/>
        <w:ind w:left="450" w:hanging="450"/>
        <w:jc w:val="both"/>
        <w:rPr>
          <w:color w:val="000000"/>
        </w:rPr>
      </w:pPr>
      <w:r w:rsidRPr="009C1199">
        <w:rPr>
          <w:color w:val="000000"/>
        </w:rPr>
        <w:lastRenderedPageBreak/>
        <w:t>Timmons, Jeffrey F</w:t>
      </w:r>
      <w:r w:rsidR="002D7707" w:rsidRPr="009C1199">
        <w:rPr>
          <w:color w:val="000000"/>
        </w:rPr>
        <w:t>. 2010. "Taxation and Credible Commi</w:t>
      </w:r>
      <w:r w:rsidR="002D7707">
        <w:rPr>
          <w:color w:val="000000"/>
        </w:rPr>
        <w:t xml:space="preserve">tment: Left, Right and Partisan </w:t>
      </w:r>
      <w:r w:rsidR="002D7707" w:rsidRPr="009C1199">
        <w:rPr>
          <w:color w:val="000000"/>
        </w:rPr>
        <w:t>Turnover."</w:t>
      </w:r>
      <w:r w:rsidR="002D7707" w:rsidRPr="009C1199">
        <w:rPr>
          <w:rStyle w:val="apple-converted-space"/>
          <w:color w:val="000000"/>
        </w:rPr>
        <w:t> </w:t>
      </w:r>
      <w:r w:rsidR="002D7707" w:rsidRPr="009C1199">
        <w:rPr>
          <w:i/>
          <w:iCs/>
          <w:color w:val="000000"/>
        </w:rPr>
        <w:t>Comparative Politics</w:t>
      </w:r>
      <w:r w:rsidR="002D7707" w:rsidRPr="009C1199">
        <w:rPr>
          <w:rStyle w:val="apple-converted-space"/>
          <w:color w:val="000000"/>
        </w:rPr>
        <w:t> </w:t>
      </w:r>
      <w:r w:rsidR="002D7707" w:rsidRPr="009C1199">
        <w:rPr>
          <w:color w:val="000000"/>
        </w:rPr>
        <w:t>42(2):</w:t>
      </w:r>
      <w:r w:rsidR="00BE62AA">
        <w:rPr>
          <w:color w:val="000000"/>
        </w:rPr>
        <w:t xml:space="preserve"> </w:t>
      </w:r>
      <w:r w:rsidR="002D7707" w:rsidRPr="009C1199">
        <w:rPr>
          <w:color w:val="000000"/>
        </w:rPr>
        <w:t>207-27.</w:t>
      </w:r>
    </w:p>
    <w:p w14:paraId="2801DF9C" w14:textId="0118E3E0" w:rsidR="002D7707" w:rsidRPr="009C1199" w:rsidRDefault="002D7707" w:rsidP="00BD2B9F">
      <w:pPr>
        <w:pStyle w:val="NormalWeb"/>
        <w:ind w:left="450" w:hanging="450"/>
        <w:jc w:val="both"/>
        <w:rPr>
          <w:color w:val="000000"/>
        </w:rPr>
      </w:pPr>
      <w:r w:rsidRPr="009C1199">
        <w:rPr>
          <w:color w:val="000000"/>
        </w:rPr>
        <w:t>Tsebelis, George. 2002.</w:t>
      </w:r>
      <w:r w:rsidRPr="009C1199">
        <w:rPr>
          <w:rStyle w:val="apple-converted-space"/>
          <w:color w:val="000000"/>
        </w:rPr>
        <w:t> </w:t>
      </w:r>
      <w:r w:rsidRPr="009C1199">
        <w:rPr>
          <w:i/>
          <w:iCs/>
          <w:color w:val="000000"/>
        </w:rPr>
        <w:t>Veto Players: How Political Institutions Work</w:t>
      </w:r>
      <w:r w:rsidRPr="009C1199">
        <w:rPr>
          <w:color w:val="000000"/>
        </w:rPr>
        <w:t>. Princeton</w:t>
      </w:r>
      <w:r w:rsidR="009123AB">
        <w:rPr>
          <w:color w:val="000000"/>
        </w:rPr>
        <w:t>, NJ</w:t>
      </w:r>
      <w:r w:rsidRPr="009C1199">
        <w:rPr>
          <w:color w:val="000000"/>
        </w:rPr>
        <w:t>: Princeton University Press.</w:t>
      </w:r>
    </w:p>
    <w:p w14:paraId="6AEC1BDE" w14:textId="01F4E331" w:rsidR="002D7707" w:rsidRDefault="002D7707" w:rsidP="00BD2B9F">
      <w:pPr>
        <w:pStyle w:val="NormalWeb"/>
        <w:ind w:left="450" w:hanging="450"/>
        <w:jc w:val="both"/>
        <w:rPr>
          <w:color w:val="000000"/>
        </w:rPr>
      </w:pPr>
      <w:r w:rsidRPr="009C1199">
        <w:rPr>
          <w:color w:val="000000"/>
        </w:rPr>
        <w:t>Visser, Jelle. 201</w:t>
      </w:r>
      <w:r>
        <w:rPr>
          <w:color w:val="000000"/>
        </w:rPr>
        <w:t>6</w:t>
      </w:r>
      <w:r w:rsidRPr="009C1199">
        <w:rPr>
          <w:color w:val="000000"/>
        </w:rPr>
        <w:t>.</w:t>
      </w:r>
      <w:r w:rsidRPr="009C1199">
        <w:rPr>
          <w:rStyle w:val="apple-converted-space"/>
          <w:color w:val="000000"/>
        </w:rPr>
        <w:t> </w:t>
      </w:r>
      <w:r w:rsidR="00067518">
        <w:rPr>
          <w:rStyle w:val="apple-converted-space"/>
          <w:color w:val="000000"/>
        </w:rPr>
        <w:t>“</w:t>
      </w:r>
      <w:r w:rsidR="00067518" w:rsidRPr="00067518">
        <w:rPr>
          <w:shd w:val="clear" w:color="auto" w:fill="FFFFFF"/>
        </w:rPr>
        <w:t>Database on Institutional Characteristics of Trade Unions, Wage Setting, State Intervention and Social Pacts in 51 countries between 1960 and 2014</w:t>
      </w:r>
      <w:r w:rsidR="00067518">
        <w:rPr>
          <w:shd w:val="clear" w:color="auto" w:fill="FFFFFF"/>
        </w:rPr>
        <w:t>”</w:t>
      </w:r>
      <w:r w:rsidRPr="00DE6E35">
        <w:rPr>
          <w:shd w:val="clear" w:color="auto" w:fill="FFFFFF"/>
        </w:rPr>
        <w:t xml:space="preserve">, </w:t>
      </w:r>
      <w:r w:rsidR="00067518">
        <w:rPr>
          <w:shd w:val="clear" w:color="auto" w:fill="FFFFFF"/>
        </w:rPr>
        <w:t>last modified September 2016 (</w:t>
      </w:r>
      <w:r w:rsidRPr="00DE6E35">
        <w:rPr>
          <w:shd w:val="clear" w:color="auto" w:fill="FFFFFF"/>
        </w:rPr>
        <w:t>version 5.1</w:t>
      </w:r>
      <w:r w:rsidR="00067518">
        <w:rPr>
          <w:shd w:val="clear" w:color="auto" w:fill="FFFFFF"/>
        </w:rPr>
        <w:t>), accessed March 20, 2017,</w:t>
      </w:r>
      <w:r w:rsidRPr="00DE6E35">
        <w:rPr>
          <w:shd w:val="clear" w:color="auto" w:fill="FFFFFF"/>
        </w:rPr>
        <w:t xml:space="preserve"> </w:t>
      </w:r>
      <w:r w:rsidR="00067518" w:rsidRPr="00067518">
        <w:rPr>
          <w:shd w:val="clear" w:color="auto" w:fill="FFFFFF"/>
        </w:rPr>
        <w:t>http://www.uva-aias.net/en/ictwss</w:t>
      </w:r>
      <w:r w:rsidRPr="00DE6E35">
        <w:rPr>
          <w:color w:val="000000"/>
        </w:rPr>
        <w:t>.</w:t>
      </w:r>
    </w:p>
    <w:p w14:paraId="7EF5F653" w14:textId="77777777" w:rsidR="00B639DA" w:rsidRPr="00B639DA" w:rsidRDefault="00B639DA" w:rsidP="00B639DA">
      <w:pPr>
        <w:pStyle w:val="NormalWeb"/>
        <w:ind w:left="450" w:hanging="450"/>
        <w:jc w:val="both"/>
      </w:pPr>
      <w:r>
        <w:t xml:space="preserve">Volscho, Thomas W., and Nathan J. Kelly. 2012. “The Rise of the Super-Rich: Power Resources, Taxes, Financial Markets, and the Dynamics of the Top 1 Percent, 1949 to 2008.” </w:t>
      </w:r>
      <w:r>
        <w:rPr>
          <w:i/>
        </w:rPr>
        <w:t>American Sociological Review</w:t>
      </w:r>
      <w:r>
        <w:t xml:space="preserve"> 77(5): 679-99.</w:t>
      </w:r>
    </w:p>
    <w:p w14:paraId="3CF7D6E6" w14:textId="601EB754" w:rsidR="002D7707" w:rsidRPr="00F54E13" w:rsidRDefault="002D7707" w:rsidP="00F54E13">
      <w:pPr>
        <w:pStyle w:val="NormalWeb"/>
        <w:ind w:left="450" w:hanging="450"/>
        <w:jc w:val="both"/>
        <w:rPr>
          <w:color w:val="000000"/>
        </w:rPr>
      </w:pPr>
      <w:r>
        <w:rPr>
          <w:color w:val="000000"/>
        </w:rPr>
        <w:t xml:space="preserve">World Development Indicators </w:t>
      </w:r>
      <w:r w:rsidRPr="009C1199">
        <w:rPr>
          <w:color w:val="000000"/>
        </w:rPr>
        <w:t>Database</w:t>
      </w:r>
      <w:r w:rsidR="00067518">
        <w:rPr>
          <w:color w:val="000000"/>
        </w:rPr>
        <w:t>,</w:t>
      </w:r>
      <w:r w:rsidRPr="009C1199">
        <w:rPr>
          <w:rStyle w:val="apple-converted-space"/>
          <w:color w:val="000000"/>
        </w:rPr>
        <w:t> </w:t>
      </w:r>
      <w:r w:rsidR="00067518">
        <w:rPr>
          <w:rStyle w:val="apple-converted-space"/>
          <w:color w:val="000000"/>
        </w:rPr>
        <w:t xml:space="preserve">last modified 2017, accessed May 23, 2017, </w:t>
      </w:r>
      <w:hyperlink r:id="rId17" w:tgtFrame="_blank" w:history="1">
        <w:r w:rsidRPr="009C1199">
          <w:rPr>
            <w:rStyle w:val="Hyperlink"/>
          </w:rPr>
          <w:t>http://databank.worldbank.org/data/views/variableSelection/selectvariables.aspx?source=world-development-indicators</w:t>
        </w:r>
      </w:hyperlink>
      <w:r w:rsidR="00F54E13">
        <w:rPr>
          <w:color w:val="000000"/>
        </w:rPr>
        <w:t>.</w:t>
      </w:r>
    </w:p>
    <w:p w14:paraId="0AFBFC11" w14:textId="77777777" w:rsidR="002D7707" w:rsidRDefault="002D7707" w:rsidP="006E485B">
      <w:pPr>
        <w:spacing w:line="480" w:lineRule="auto"/>
        <w:rPr>
          <w:rFonts w:eastAsia="Times New Roman"/>
        </w:rPr>
      </w:pPr>
      <w:r w:rsidRPr="00A066CE">
        <w:br w:type="page"/>
      </w:r>
    </w:p>
    <w:p w14:paraId="0001C8BC" w14:textId="77777777" w:rsidR="002D7707" w:rsidRPr="00A066CE" w:rsidRDefault="002D7707" w:rsidP="006D150D">
      <w:r w:rsidRPr="00A066CE">
        <w:lastRenderedPageBreak/>
        <w:t xml:space="preserve"> </w:t>
      </w:r>
    </w:p>
    <w:p w14:paraId="5F7E7C62" w14:textId="77777777" w:rsidR="00976A8A" w:rsidRDefault="002D7707" w:rsidP="00C53C94">
      <w:pPr>
        <w:spacing w:line="480" w:lineRule="auto"/>
      </w:pPr>
      <w:r w:rsidRPr="00A066CE">
        <w:t>Appendix</w:t>
      </w:r>
      <w:r>
        <w:t xml:space="preserve"> A</w:t>
      </w:r>
      <w:r w:rsidRPr="00A066CE">
        <w:t xml:space="preserve">. Countries in the </w:t>
      </w:r>
      <w:r>
        <w:t xml:space="preserve">overall </w:t>
      </w:r>
      <w:r w:rsidRPr="00A066CE">
        <w:t>analysis</w:t>
      </w:r>
      <w:r w:rsidRPr="00A066CE">
        <w:rPr>
          <w:rStyle w:val="FootnoteReference"/>
          <w:lang w:eastAsia="ko-KR"/>
        </w:rPr>
        <w:footnoteReference w:id="30"/>
      </w:r>
      <w:r w:rsidRPr="00A066CE">
        <w:t xml:space="preserve"> </w:t>
      </w:r>
    </w:p>
    <w:tbl>
      <w:tblPr>
        <w:tblW w:w="0" w:type="auto"/>
        <w:tblInd w:w="397" w:type="dxa"/>
        <w:tblLook w:val="04A0" w:firstRow="1" w:lastRow="0" w:firstColumn="1" w:lastColumn="0" w:noHBand="0" w:noVBand="1"/>
      </w:tblPr>
      <w:tblGrid>
        <w:gridCol w:w="1376"/>
        <w:gridCol w:w="1836"/>
        <w:gridCol w:w="111"/>
        <w:gridCol w:w="111"/>
        <w:gridCol w:w="2209"/>
        <w:gridCol w:w="1743"/>
        <w:gridCol w:w="1229"/>
      </w:tblGrid>
      <w:tr w:rsidR="00D90156" w:rsidRPr="006119EA" w14:paraId="438D2042" w14:textId="77777777" w:rsidTr="00D90156">
        <w:trPr>
          <w:trHeight w:val="315"/>
        </w:trPr>
        <w:tc>
          <w:tcPr>
            <w:tcW w:w="0" w:type="auto"/>
            <w:tcBorders>
              <w:top w:val="single" w:sz="4" w:space="0" w:color="auto"/>
              <w:left w:val="nil"/>
              <w:bottom w:val="single" w:sz="4" w:space="0" w:color="auto"/>
              <w:right w:val="nil"/>
            </w:tcBorders>
            <w:shd w:val="clear" w:color="auto" w:fill="auto"/>
            <w:noWrap/>
            <w:vAlign w:val="bottom"/>
            <w:hideMark/>
          </w:tcPr>
          <w:p w14:paraId="12769C43" w14:textId="77777777" w:rsidR="00D90156" w:rsidRPr="00374DCC" w:rsidRDefault="00D90156" w:rsidP="00E81C77">
            <w:pPr>
              <w:rPr>
                <w:rFonts w:eastAsia="Times New Roman"/>
                <w:i/>
                <w:color w:val="000000"/>
                <w:lang w:eastAsia="ko-KR"/>
              </w:rPr>
            </w:pPr>
            <w:r w:rsidRPr="00374DCC">
              <w:rPr>
                <w:rFonts w:eastAsia="Times New Roman"/>
                <w:i/>
                <w:color w:val="000000"/>
                <w:lang w:eastAsia="ko-KR"/>
              </w:rPr>
              <w:t>Continental</w:t>
            </w:r>
          </w:p>
        </w:tc>
        <w:tc>
          <w:tcPr>
            <w:tcW w:w="0" w:type="auto"/>
            <w:tcBorders>
              <w:top w:val="single" w:sz="4" w:space="0" w:color="auto"/>
              <w:left w:val="nil"/>
              <w:bottom w:val="single" w:sz="4" w:space="0" w:color="auto"/>
              <w:right w:val="nil"/>
            </w:tcBorders>
            <w:shd w:val="clear" w:color="auto" w:fill="auto"/>
            <w:noWrap/>
            <w:vAlign w:val="bottom"/>
            <w:hideMark/>
          </w:tcPr>
          <w:p w14:paraId="6B5583D0" w14:textId="77777777" w:rsidR="00D90156" w:rsidRPr="00374DCC" w:rsidRDefault="00D90156" w:rsidP="00E81C77">
            <w:pPr>
              <w:rPr>
                <w:rFonts w:eastAsia="Times New Roman"/>
                <w:i/>
                <w:color w:val="000000"/>
                <w:lang w:eastAsia="ko-KR"/>
              </w:rPr>
            </w:pPr>
            <w:r w:rsidRPr="00374DCC">
              <w:rPr>
                <w:rFonts w:eastAsia="Times New Roman"/>
                <w:i/>
                <w:color w:val="000000"/>
                <w:lang w:eastAsia="ko-KR"/>
              </w:rPr>
              <w:t>Liberal</w:t>
            </w:r>
          </w:p>
        </w:tc>
        <w:tc>
          <w:tcPr>
            <w:tcW w:w="0" w:type="auto"/>
            <w:gridSpan w:val="3"/>
            <w:tcBorders>
              <w:top w:val="single" w:sz="4" w:space="0" w:color="auto"/>
              <w:left w:val="nil"/>
              <w:bottom w:val="single" w:sz="4" w:space="0" w:color="auto"/>
              <w:right w:val="nil"/>
            </w:tcBorders>
            <w:shd w:val="clear" w:color="auto" w:fill="auto"/>
            <w:noWrap/>
            <w:vAlign w:val="bottom"/>
            <w:hideMark/>
          </w:tcPr>
          <w:p w14:paraId="4AAEBBB9" w14:textId="77777777" w:rsidR="00D90156" w:rsidRPr="00374DCC" w:rsidRDefault="00D90156" w:rsidP="00E81C77">
            <w:pPr>
              <w:rPr>
                <w:rFonts w:eastAsia="Times New Roman"/>
                <w:i/>
                <w:color w:val="000000"/>
                <w:lang w:eastAsia="ko-KR"/>
              </w:rPr>
            </w:pPr>
            <w:r w:rsidRPr="00374DCC">
              <w:rPr>
                <w:rFonts w:eastAsia="Times New Roman"/>
                <w:i/>
                <w:color w:val="000000"/>
                <w:lang w:eastAsia="ko-KR"/>
              </w:rPr>
              <w:t>Nordic</w:t>
            </w:r>
          </w:p>
        </w:tc>
        <w:tc>
          <w:tcPr>
            <w:tcW w:w="0" w:type="auto"/>
            <w:tcBorders>
              <w:top w:val="single" w:sz="4" w:space="0" w:color="auto"/>
              <w:left w:val="nil"/>
              <w:bottom w:val="single" w:sz="4" w:space="0" w:color="auto"/>
              <w:right w:val="nil"/>
            </w:tcBorders>
            <w:shd w:val="clear" w:color="auto" w:fill="auto"/>
            <w:noWrap/>
            <w:vAlign w:val="bottom"/>
            <w:hideMark/>
          </w:tcPr>
          <w:p w14:paraId="2C64771C" w14:textId="77777777" w:rsidR="00D90156" w:rsidRPr="00374DCC" w:rsidRDefault="00D90156" w:rsidP="00E81C77">
            <w:pPr>
              <w:rPr>
                <w:rFonts w:eastAsia="Times New Roman"/>
                <w:i/>
                <w:color w:val="000000"/>
                <w:lang w:eastAsia="ko-KR"/>
              </w:rPr>
            </w:pPr>
            <w:r w:rsidRPr="00374DCC">
              <w:rPr>
                <w:rFonts w:eastAsia="Times New Roman"/>
                <w:i/>
                <w:color w:val="000000"/>
                <w:lang w:eastAsia="ko-KR"/>
              </w:rPr>
              <w:t>Mediterranean</w:t>
            </w:r>
          </w:p>
        </w:tc>
        <w:tc>
          <w:tcPr>
            <w:tcW w:w="0" w:type="auto"/>
            <w:tcBorders>
              <w:top w:val="single" w:sz="4" w:space="0" w:color="auto"/>
              <w:left w:val="nil"/>
              <w:bottom w:val="single" w:sz="4" w:space="0" w:color="auto"/>
              <w:right w:val="nil"/>
            </w:tcBorders>
            <w:shd w:val="clear" w:color="auto" w:fill="auto"/>
            <w:noWrap/>
            <w:vAlign w:val="bottom"/>
            <w:hideMark/>
          </w:tcPr>
          <w:p w14:paraId="253A2AEA" w14:textId="77777777" w:rsidR="00D90156" w:rsidRPr="006119EA" w:rsidRDefault="00D90156" w:rsidP="00E81C77">
            <w:pPr>
              <w:rPr>
                <w:rFonts w:eastAsia="Times New Roman"/>
                <w:color w:val="000000"/>
                <w:lang w:eastAsia="ko-KR"/>
              </w:rPr>
            </w:pPr>
          </w:p>
        </w:tc>
      </w:tr>
      <w:tr w:rsidR="00D90156" w:rsidRPr="006119EA" w14:paraId="6C2E7F5B" w14:textId="77777777" w:rsidTr="00D90156">
        <w:trPr>
          <w:trHeight w:val="315"/>
        </w:trPr>
        <w:tc>
          <w:tcPr>
            <w:tcW w:w="0" w:type="auto"/>
            <w:tcBorders>
              <w:top w:val="single" w:sz="4" w:space="0" w:color="auto"/>
              <w:left w:val="nil"/>
              <w:bottom w:val="nil"/>
              <w:right w:val="nil"/>
            </w:tcBorders>
            <w:shd w:val="clear" w:color="auto" w:fill="auto"/>
            <w:noWrap/>
            <w:vAlign w:val="bottom"/>
            <w:hideMark/>
          </w:tcPr>
          <w:p w14:paraId="181B683C" w14:textId="77777777" w:rsidR="00D90156" w:rsidRPr="006119EA" w:rsidRDefault="00D90156" w:rsidP="00E81C77">
            <w:pPr>
              <w:rPr>
                <w:rFonts w:eastAsia="Times New Roman"/>
                <w:color w:val="000000"/>
                <w:lang w:eastAsia="ko-KR"/>
              </w:rPr>
            </w:pPr>
            <w:r w:rsidRPr="006119EA">
              <w:rPr>
                <w:rFonts w:eastAsia="Times New Roman"/>
                <w:color w:val="000000"/>
                <w:lang w:eastAsia="ko-KR"/>
              </w:rPr>
              <w:t>Austria</w:t>
            </w:r>
          </w:p>
        </w:tc>
        <w:tc>
          <w:tcPr>
            <w:tcW w:w="0" w:type="auto"/>
            <w:tcBorders>
              <w:top w:val="single" w:sz="4" w:space="0" w:color="auto"/>
              <w:left w:val="nil"/>
              <w:bottom w:val="nil"/>
              <w:right w:val="nil"/>
            </w:tcBorders>
            <w:shd w:val="clear" w:color="auto" w:fill="auto"/>
            <w:noWrap/>
            <w:vAlign w:val="bottom"/>
            <w:hideMark/>
          </w:tcPr>
          <w:p w14:paraId="6E7A7A9E" w14:textId="77777777" w:rsidR="00D90156" w:rsidRPr="006119EA" w:rsidRDefault="00D90156" w:rsidP="00E81C77">
            <w:pPr>
              <w:rPr>
                <w:rFonts w:eastAsia="Times New Roman"/>
                <w:color w:val="000000"/>
                <w:lang w:eastAsia="ko-KR"/>
              </w:rPr>
            </w:pPr>
            <w:r w:rsidRPr="006119EA">
              <w:rPr>
                <w:rFonts w:eastAsia="Times New Roman"/>
                <w:color w:val="000000"/>
                <w:lang w:eastAsia="ko-KR"/>
              </w:rPr>
              <w:t>Australia</w:t>
            </w:r>
          </w:p>
        </w:tc>
        <w:tc>
          <w:tcPr>
            <w:tcW w:w="0" w:type="auto"/>
            <w:gridSpan w:val="3"/>
            <w:tcBorders>
              <w:top w:val="single" w:sz="4" w:space="0" w:color="auto"/>
              <w:left w:val="nil"/>
              <w:bottom w:val="nil"/>
              <w:right w:val="nil"/>
            </w:tcBorders>
            <w:shd w:val="clear" w:color="auto" w:fill="auto"/>
            <w:noWrap/>
            <w:vAlign w:val="bottom"/>
            <w:hideMark/>
          </w:tcPr>
          <w:p w14:paraId="6BBF01C5" w14:textId="77777777" w:rsidR="00D90156" w:rsidRPr="006119EA" w:rsidRDefault="00D90156" w:rsidP="00E81C77">
            <w:pPr>
              <w:rPr>
                <w:rFonts w:eastAsia="Times New Roman"/>
                <w:color w:val="000000"/>
                <w:lang w:eastAsia="ko-KR"/>
              </w:rPr>
            </w:pPr>
            <w:r w:rsidRPr="006119EA">
              <w:rPr>
                <w:rFonts w:eastAsia="Times New Roman"/>
                <w:color w:val="000000"/>
                <w:lang w:eastAsia="ko-KR"/>
              </w:rPr>
              <w:t>Denmark</w:t>
            </w:r>
          </w:p>
        </w:tc>
        <w:tc>
          <w:tcPr>
            <w:tcW w:w="0" w:type="auto"/>
            <w:tcBorders>
              <w:top w:val="single" w:sz="4" w:space="0" w:color="auto"/>
              <w:left w:val="nil"/>
              <w:bottom w:val="nil"/>
              <w:right w:val="nil"/>
            </w:tcBorders>
            <w:shd w:val="clear" w:color="auto" w:fill="auto"/>
            <w:noWrap/>
            <w:vAlign w:val="bottom"/>
            <w:hideMark/>
          </w:tcPr>
          <w:p w14:paraId="19B3E4DF" w14:textId="77777777" w:rsidR="00D90156" w:rsidRPr="006119EA" w:rsidRDefault="00D90156" w:rsidP="00E81C77">
            <w:pPr>
              <w:rPr>
                <w:rFonts w:eastAsia="Times New Roman"/>
                <w:color w:val="000000"/>
                <w:lang w:eastAsia="ko-KR"/>
              </w:rPr>
            </w:pPr>
            <w:r w:rsidRPr="006119EA">
              <w:rPr>
                <w:rFonts w:eastAsia="Times New Roman"/>
                <w:color w:val="000000"/>
                <w:lang w:eastAsia="ko-KR"/>
              </w:rPr>
              <w:t>Greece</w:t>
            </w:r>
          </w:p>
        </w:tc>
        <w:tc>
          <w:tcPr>
            <w:tcW w:w="0" w:type="auto"/>
            <w:tcBorders>
              <w:top w:val="single" w:sz="4" w:space="0" w:color="auto"/>
              <w:left w:val="nil"/>
              <w:bottom w:val="nil"/>
              <w:right w:val="nil"/>
            </w:tcBorders>
            <w:shd w:val="clear" w:color="auto" w:fill="auto"/>
            <w:noWrap/>
            <w:vAlign w:val="bottom"/>
            <w:hideMark/>
          </w:tcPr>
          <w:p w14:paraId="255FEDB2" w14:textId="77777777" w:rsidR="00D90156" w:rsidRPr="006119EA" w:rsidRDefault="00D90156" w:rsidP="00E81C77">
            <w:pPr>
              <w:rPr>
                <w:rFonts w:eastAsia="Times New Roman"/>
                <w:color w:val="000000"/>
                <w:lang w:eastAsia="ko-KR"/>
              </w:rPr>
            </w:pPr>
          </w:p>
        </w:tc>
      </w:tr>
      <w:tr w:rsidR="00D90156" w:rsidRPr="006119EA" w14:paraId="0CD940F4" w14:textId="77777777" w:rsidTr="00D90156">
        <w:trPr>
          <w:trHeight w:val="315"/>
        </w:trPr>
        <w:tc>
          <w:tcPr>
            <w:tcW w:w="0" w:type="auto"/>
            <w:tcBorders>
              <w:top w:val="nil"/>
              <w:left w:val="nil"/>
              <w:bottom w:val="nil"/>
              <w:right w:val="nil"/>
            </w:tcBorders>
            <w:shd w:val="clear" w:color="auto" w:fill="auto"/>
            <w:noWrap/>
            <w:vAlign w:val="bottom"/>
            <w:hideMark/>
          </w:tcPr>
          <w:p w14:paraId="4ED8C104" w14:textId="77777777" w:rsidR="00D90156" w:rsidRPr="006119EA" w:rsidRDefault="00D90156" w:rsidP="00E81C77">
            <w:pPr>
              <w:rPr>
                <w:rFonts w:eastAsia="Times New Roman"/>
                <w:color w:val="000000"/>
                <w:lang w:eastAsia="ko-KR"/>
              </w:rPr>
            </w:pPr>
            <w:r w:rsidRPr="006119EA">
              <w:rPr>
                <w:rFonts w:eastAsia="Times New Roman"/>
                <w:color w:val="000000"/>
                <w:lang w:eastAsia="ko-KR"/>
              </w:rPr>
              <w:t>Belgium</w:t>
            </w:r>
          </w:p>
        </w:tc>
        <w:tc>
          <w:tcPr>
            <w:tcW w:w="0" w:type="auto"/>
            <w:tcBorders>
              <w:top w:val="nil"/>
              <w:left w:val="nil"/>
              <w:bottom w:val="nil"/>
              <w:right w:val="nil"/>
            </w:tcBorders>
            <w:shd w:val="clear" w:color="auto" w:fill="auto"/>
            <w:noWrap/>
            <w:vAlign w:val="bottom"/>
            <w:hideMark/>
          </w:tcPr>
          <w:p w14:paraId="6C719323" w14:textId="77777777" w:rsidR="00D90156" w:rsidRPr="006119EA" w:rsidRDefault="00D90156" w:rsidP="00E81C77">
            <w:pPr>
              <w:rPr>
                <w:rFonts w:eastAsia="Times New Roman"/>
                <w:color w:val="000000"/>
                <w:lang w:eastAsia="ko-KR"/>
              </w:rPr>
            </w:pPr>
            <w:r w:rsidRPr="006119EA">
              <w:rPr>
                <w:rFonts w:eastAsia="Times New Roman"/>
                <w:color w:val="000000"/>
                <w:lang w:eastAsia="ko-KR"/>
              </w:rPr>
              <w:t>Canada</w:t>
            </w:r>
          </w:p>
        </w:tc>
        <w:tc>
          <w:tcPr>
            <w:tcW w:w="0" w:type="auto"/>
            <w:gridSpan w:val="3"/>
            <w:tcBorders>
              <w:top w:val="nil"/>
              <w:left w:val="nil"/>
              <w:bottom w:val="nil"/>
              <w:right w:val="nil"/>
            </w:tcBorders>
            <w:shd w:val="clear" w:color="auto" w:fill="auto"/>
            <w:noWrap/>
            <w:vAlign w:val="bottom"/>
            <w:hideMark/>
          </w:tcPr>
          <w:p w14:paraId="5C269A01" w14:textId="77777777" w:rsidR="00D90156" w:rsidRPr="006119EA" w:rsidRDefault="00D90156" w:rsidP="00E81C77">
            <w:pPr>
              <w:rPr>
                <w:rFonts w:eastAsia="Times New Roman"/>
                <w:color w:val="000000"/>
                <w:lang w:eastAsia="ko-KR"/>
              </w:rPr>
            </w:pPr>
            <w:r w:rsidRPr="006119EA">
              <w:rPr>
                <w:rFonts w:eastAsia="Times New Roman"/>
                <w:color w:val="000000"/>
                <w:lang w:eastAsia="ko-KR"/>
              </w:rPr>
              <w:t>Finland</w:t>
            </w:r>
          </w:p>
        </w:tc>
        <w:tc>
          <w:tcPr>
            <w:tcW w:w="0" w:type="auto"/>
            <w:tcBorders>
              <w:top w:val="nil"/>
              <w:left w:val="nil"/>
              <w:bottom w:val="nil"/>
              <w:right w:val="nil"/>
            </w:tcBorders>
            <w:shd w:val="clear" w:color="auto" w:fill="auto"/>
            <w:noWrap/>
            <w:vAlign w:val="bottom"/>
            <w:hideMark/>
          </w:tcPr>
          <w:p w14:paraId="4FEEEE9B" w14:textId="77777777" w:rsidR="00D90156" w:rsidRPr="006119EA" w:rsidRDefault="00D90156" w:rsidP="00E81C77">
            <w:pPr>
              <w:rPr>
                <w:rFonts w:eastAsia="Times New Roman"/>
                <w:color w:val="000000"/>
                <w:lang w:eastAsia="ko-KR"/>
              </w:rPr>
            </w:pPr>
            <w:r w:rsidRPr="006119EA">
              <w:rPr>
                <w:rFonts w:eastAsia="Times New Roman"/>
                <w:color w:val="000000"/>
                <w:lang w:eastAsia="ko-KR"/>
              </w:rPr>
              <w:t>Italy</w:t>
            </w:r>
          </w:p>
        </w:tc>
        <w:tc>
          <w:tcPr>
            <w:tcW w:w="0" w:type="auto"/>
            <w:tcBorders>
              <w:top w:val="nil"/>
              <w:left w:val="nil"/>
              <w:bottom w:val="nil"/>
              <w:right w:val="nil"/>
            </w:tcBorders>
            <w:shd w:val="clear" w:color="auto" w:fill="auto"/>
            <w:noWrap/>
            <w:vAlign w:val="bottom"/>
            <w:hideMark/>
          </w:tcPr>
          <w:p w14:paraId="1C448CC6" w14:textId="77777777" w:rsidR="00D90156" w:rsidRPr="006119EA" w:rsidRDefault="00D90156" w:rsidP="00E81C77">
            <w:pPr>
              <w:rPr>
                <w:rFonts w:eastAsia="Times New Roman"/>
                <w:color w:val="000000"/>
                <w:lang w:eastAsia="ko-KR"/>
              </w:rPr>
            </w:pPr>
          </w:p>
        </w:tc>
      </w:tr>
      <w:tr w:rsidR="00D90156" w:rsidRPr="006119EA" w14:paraId="3E55E0D5" w14:textId="77777777" w:rsidTr="00D90156">
        <w:trPr>
          <w:trHeight w:val="315"/>
        </w:trPr>
        <w:tc>
          <w:tcPr>
            <w:tcW w:w="0" w:type="auto"/>
            <w:tcBorders>
              <w:top w:val="nil"/>
              <w:left w:val="nil"/>
              <w:bottom w:val="nil"/>
              <w:right w:val="nil"/>
            </w:tcBorders>
            <w:shd w:val="clear" w:color="auto" w:fill="auto"/>
            <w:noWrap/>
            <w:vAlign w:val="bottom"/>
            <w:hideMark/>
          </w:tcPr>
          <w:p w14:paraId="059D8CE3" w14:textId="77777777" w:rsidR="00D90156" w:rsidRPr="006119EA" w:rsidRDefault="00D90156" w:rsidP="00E81C77">
            <w:pPr>
              <w:rPr>
                <w:rFonts w:eastAsia="Times New Roman"/>
                <w:color w:val="000000"/>
                <w:lang w:eastAsia="ko-KR"/>
              </w:rPr>
            </w:pPr>
            <w:r w:rsidRPr="006119EA">
              <w:rPr>
                <w:rFonts w:eastAsia="Times New Roman"/>
                <w:color w:val="000000"/>
                <w:lang w:eastAsia="ko-KR"/>
              </w:rPr>
              <w:t>France</w:t>
            </w:r>
          </w:p>
        </w:tc>
        <w:tc>
          <w:tcPr>
            <w:tcW w:w="0" w:type="auto"/>
            <w:tcBorders>
              <w:top w:val="nil"/>
              <w:left w:val="nil"/>
              <w:bottom w:val="nil"/>
              <w:right w:val="nil"/>
            </w:tcBorders>
            <w:shd w:val="clear" w:color="auto" w:fill="auto"/>
            <w:noWrap/>
            <w:vAlign w:val="bottom"/>
            <w:hideMark/>
          </w:tcPr>
          <w:p w14:paraId="08329571" w14:textId="77777777" w:rsidR="00D90156" w:rsidRPr="006119EA" w:rsidRDefault="00D90156" w:rsidP="00E81C77">
            <w:pPr>
              <w:rPr>
                <w:rFonts w:eastAsia="Times New Roman"/>
                <w:color w:val="000000"/>
                <w:lang w:eastAsia="ko-KR"/>
              </w:rPr>
            </w:pPr>
            <w:r w:rsidRPr="006119EA">
              <w:rPr>
                <w:rFonts w:eastAsia="Times New Roman"/>
                <w:color w:val="000000"/>
                <w:lang w:eastAsia="ko-KR"/>
              </w:rPr>
              <w:t>Ireland</w:t>
            </w:r>
          </w:p>
        </w:tc>
        <w:tc>
          <w:tcPr>
            <w:tcW w:w="0" w:type="auto"/>
            <w:gridSpan w:val="3"/>
            <w:tcBorders>
              <w:top w:val="nil"/>
              <w:left w:val="nil"/>
              <w:bottom w:val="nil"/>
              <w:right w:val="nil"/>
            </w:tcBorders>
            <w:shd w:val="clear" w:color="auto" w:fill="auto"/>
            <w:noWrap/>
            <w:vAlign w:val="bottom"/>
            <w:hideMark/>
          </w:tcPr>
          <w:p w14:paraId="179BD3A4" w14:textId="77777777" w:rsidR="00D90156" w:rsidRPr="006119EA" w:rsidRDefault="00D90156" w:rsidP="00E81C77">
            <w:pPr>
              <w:rPr>
                <w:rFonts w:eastAsia="Times New Roman"/>
                <w:color w:val="000000"/>
                <w:lang w:eastAsia="ko-KR"/>
              </w:rPr>
            </w:pPr>
            <w:r w:rsidRPr="006119EA">
              <w:rPr>
                <w:rFonts w:eastAsia="Times New Roman"/>
                <w:color w:val="000000"/>
                <w:lang w:eastAsia="ko-KR"/>
              </w:rPr>
              <w:t>Norway</w:t>
            </w:r>
          </w:p>
        </w:tc>
        <w:tc>
          <w:tcPr>
            <w:tcW w:w="0" w:type="auto"/>
            <w:tcBorders>
              <w:top w:val="nil"/>
              <w:left w:val="nil"/>
              <w:bottom w:val="nil"/>
              <w:right w:val="nil"/>
            </w:tcBorders>
            <w:shd w:val="clear" w:color="auto" w:fill="auto"/>
            <w:noWrap/>
            <w:vAlign w:val="bottom"/>
            <w:hideMark/>
          </w:tcPr>
          <w:p w14:paraId="5012E7E9" w14:textId="77777777" w:rsidR="00D90156" w:rsidRPr="006119EA" w:rsidRDefault="00D90156" w:rsidP="00E81C77">
            <w:pPr>
              <w:rPr>
                <w:rFonts w:eastAsia="Times New Roman"/>
                <w:color w:val="000000"/>
                <w:lang w:eastAsia="ko-KR"/>
              </w:rPr>
            </w:pPr>
            <w:r w:rsidRPr="006119EA">
              <w:rPr>
                <w:rFonts w:eastAsia="Times New Roman"/>
                <w:color w:val="000000"/>
                <w:lang w:eastAsia="ko-KR"/>
              </w:rPr>
              <w:t>Portugal</w:t>
            </w:r>
          </w:p>
        </w:tc>
        <w:tc>
          <w:tcPr>
            <w:tcW w:w="0" w:type="auto"/>
            <w:tcBorders>
              <w:top w:val="nil"/>
              <w:left w:val="nil"/>
              <w:bottom w:val="nil"/>
              <w:right w:val="nil"/>
            </w:tcBorders>
            <w:shd w:val="clear" w:color="auto" w:fill="auto"/>
            <w:noWrap/>
            <w:vAlign w:val="bottom"/>
            <w:hideMark/>
          </w:tcPr>
          <w:p w14:paraId="0057AB5E" w14:textId="77777777" w:rsidR="00D90156" w:rsidRPr="006119EA" w:rsidRDefault="00D90156" w:rsidP="00E81C77">
            <w:pPr>
              <w:rPr>
                <w:rFonts w:eastAsia="Times New Roman"/>
                <w:color w:val="000000"/>
                <w:lang w:eastAsia="ko-KR"/>
              </w:rPr>
            </w:pPr>
          </w:p>
        </w:tc>
      </w:tr>
      <w:tr w:rsidR="00593862" w:rsidRPr="006119EA" w14:paraId="65D886EE" w14:textId="77777777" w:rsidTr="00D90156">
        <w:trPr>
          <w:trHeight w:val="315"/>
        </w:trPr>
        <w:tc>
          <w:tcPr>
            <w:tcW w:w="0" w:type="auto"/>
            <w:tcBorders>
              <w:top w:val="nil"/>
              <w:left w:val="nil"/>
              <w:bottom w:val="nil"/>
              <w:right w:val="nil"/>
            </w:tcBorders>
            <w:shd w:val="clear" w:color="auto" w:fill="auto"/>
            <w:noWrap/>
            <w:vAlign w:val="bottom"/>
            <w:hideMark/>
          </w:tcPr>
          <w:p w14:paraId="7F9F213F" w14:textId="77777777" w:rsidR="00593862" w:rsidRPr="006119EA" w:rsidRDefault="00593862" w:rsidP="0062018B">
            <w:pPr>
              <w:rPr>
                <w:rFonts w:eastAsia="Times New Roman"/>
                <w:color w:val="000000"/>
                <w:lang w:eastAsia="ko-KR"/>
              </w:rPr>
            </w:pPr>
            <w:r w:rsidRPr="006119EA">
              <w:rPr>
                <w:rFonts w:eastAsia="Times New Roman"/>
                <w:color w:val="000000"/>
                <w:lang w:eastAsia="ko-KR"/>
              </w:rPr>
              <w:t>Germany</w:t>
            </w:r>
          </w:p>
        </w:tc>
        <w:tc>
          <w:tcPr>
            <w:tcW w:w="0" w:type="auto"/>
            <w:tcBorders>
              <w:top w:val="nil"/>
              <w:left w:val="nil"/>
              <w:bottom w:val="nil"/>
              <w:right w:val="nil"/>
            </w:tcBorders>
            <w:shd w:val="clear" w:color="auto" w:fill="auto"/>
            <w:noWrap/>
            <w:vAlign w:val="bottom"/>
            <w:hideMark/>
          </w:tcPr>
          <w:p w14:paraId="16CB5C42" w14:textId="77777777" w:rsidR="00593862" w:rsidRPr="006119EA" w:rsidRDefault="00593862" w:rsidP="00E81C77">
            <w:pPr>
              <w:rPr>
                <w:rFonts w:eastAsia="Times New Roman"/>
                <w:color w:val="000000"/>
                <w:lang w:eastAsia="ko-KR"/>
              </w:rPr>
            </w:pPr>
            <w:r>
              <w:rPr>
                <w:rFonts w:eastAsia="Times New Roman"/>
                <w:color w:val="000000"/>
                <w:lang w:eastAsia="ko-KR"/>
              </w:rPr>
              <w:t>Japan</w:t>
            </w:r>
          </w:p>
        </w:tc>
        <w:tc>
          <w:tcPr>
            <w:tcW w:w="0" w:type="auto"/>
            <w:gridSpan w:val="3"/>
            <w:tcBorders>
              <w:top w:val="nil"/>
              <w:left w:val="nil"/>
              <w:bottom w:val="nil"/>
              <w:right w:val="nil"/>
            </w:tcBorders>
            <w:shd w:val="clear" w:color="auto" w:fill="auto"/>
            <w:noWrap/>
            <w:vAlign w:val="bottom"/>
            <w:hideMark/>
          </w:tcPr>
          <w:p w14:paraId="129F18E3" w14:textId="77777777" w:rsidR="00593862" w:rsidRPr="006119EA" w:rsidRDefault="00593862" w:rsidP="00E81C77">
            <w:pPr>
              <w:rPr>
                <w:rFonts w:eastAsia="Times New Roman"/>
                <w:color w:val="000000"/>
                <w:lang w:eastAsia="ko-KR"/>
              </w:rPr>
            </w:pPr>
            <w:r w:rsidRPr="006119EA">
              <w:rPr>
                <w:rFonts w:eastAsia="Times New Roman"/>
                <w:color w:val="000000"/>
                <w:lang w:eastAsia="ko-KR"/>
              </w:rPr>
              <w:t>Sweden</w:t>
            </w:r>
          </w:p>
        </w:tc>
        <w:tc>
          <w:tcPr>
            <w:tcW w:w="0" w:type="auto"/>
            <w:tcBorders>
              <w:top w:val="nil"/>
              <w:left w:val="nil"/>
              <w:bottom w:val="nil"/>
              <w:right w:val="nil"/>
            </w:tcBorders>
            <w:shd w:val="clear" w:color="auto" w:fill="auto"/>
            <w:noWrap/>
            <w:vAlign w:val="bottom"/>
            <w:hideMark/>
          </w:tcPr>
          <w:p w14:paraId="7C8A65D2" w14:textId="77777777" w:rsidR="00593862" w:rsidRPr="006119EA" w:rsidRDefault="00593862" w:rsidP="00E81C77">
            <w:pPr>
              <w:rPr>
                <w:rFonts w:eastAsia="Times New Roman"/>
                <w:color w:val="000000"/>
                <w:lang w:eastAsia="ko-KR"/>
              </w:rPr>
            </w:pPr>
            <w:r w:rsidRPr="006119EA">
              <w:rPr>
                <w:rFonts w:eastAsia="Times New Roman"/>
                <w:color w:val="000000"/>
                <w:lang w:eastAsia="ko-KR"/>
              </w:rPr>
              <w:t>Spain</w:t>
            </w:r>
          </w:p>
        </w:tc>
        <w:tc>
          <w:tcPr>
            <w:tcW w:w="0" w:type="auto"/>
            <w:tcBorders>
              <w:top w:val="nil"/>
              <w:left w:val="nil"/>
              <w:bottom w:val="nil"/>
              <w:right w:val="nil"/>
            </w:tcBorders>
            <w:shd w:val="clear" w:color="auto" w:fill="auto"/>
            <w:noWrap/>
            <w:vAlign w:val="bottom"/>
            <w:hideMark/>
          </w:tcPr>
          <w:p w14:paraId="647133AE" w14:textId="77777777" w:rsidR="00593862" w:rsidRPr="006119EA" w:rsidRDefault="00593862" w:rsidP="00E81C77">
            <w:pPr>
              <w:rPr>
                <w:rFonts w:eastAsia="Times New Roman"/>
                <w:color w:val="000000"/>
                <w:lang w:eastAsia="ko-KR"/>
              </w:rPr>
            </w:pPr>
          </w:p>
        </w:tc>
      </w:tr>
      <w:tr w:rsidR="00336996" w:rsidRPr="006119EA" w14:paraId="4B71F44F" w14:textId="77777777" w:rsidTr="00D90156">
        <w:trPr>
          <w:trHeight w:val="315"/>
        </w:trPr>
        <w:tc>
          <w:tcPr>
            <w:tcW w:w="0" w:type="auto"/>
            <w:tcBorders>
              <w:top w:val="nil"/>
              <w:left w:val="nil"/>
              <w:bottom w:val="nil"/>
              <w:right w:val="nil"/>
            </w:tcBorders>
            <w:shd w:val="clear" w:color="auto" w:fill="auto"/>
            <w:noWrap/>
            <w:vAlign w:val="bottom"/>
            <w:hideMark/>
          </w:tcPr>
          <w:p w14:paraId="3EBD47CE" w14:textId="77777777" w:rsidR="00336996" w:rsidRPr="006119EA" w:rsidRDefault="00336996" w:rsidP="00336996">
            <w:pPr>
              <w:rPr>
                <w:rFonts w:eastAsia="Times New Roman"/>
                <w:color w:val="000000"/>
                <w:lang w:eastAsia="ko-KR"/>
              </w:rPr>
            </w:pPr>
            <w:r w:rsidRPr="006119EA">
              <w:rPr>
                <w:rFonts w:eastAsia="Times New Roman"/>
                <w:color w:val="000000"/>
                <w:lang w:eastAsia="ko-KR"/>
              </w:rPr>
              <w:t>Netherlands</w:t>
            </w:r>
          </w:p>
        </w:tc>
        <w:tc>
          <w:tcPr>
            <w:tcW w:w="0" w:type="auto"/>
            <w:tcBorders>
              <w:top w:val="nil"/>
              <w:left w:val="nil"/>
              <w:bottom w:val="nil"/>
              <w:right w:val="nil"/>
            </w:tcBorders>
            <w:shd w:val="clear" w:color="auto" w:fill="auto"/>
            <w:noWrap/>
            <w:vAlign w:val="bottom"/>
            <w:hideMark/>
          </w:tcPr>
          <w:p w14:paraId="7E788086" w14:textId="0136785B" w:rsidR="00336996" w:rsidRPr="006119EA" w:rsidRDefault="00336996" w:rsidP="00336996">
            <w:pPr>
              <w:rPr>
                <w:rFonts w:eastAsia="Times New Roman"/>
                <w:color w:val="000000"/>
                <w:lang w:eastAsia="ko-KR"/>
              </w:rPr>
            </w:pPr>
            <w:r w:rsidRPr="006119EA">
              <w:rPr>
                <w:rFonts w:eastAsia="Times New Roman"/>
                <w:color w:val="000000"/>
                <w:lang w:eastAsia="ko-KR"/>
              </w:rPr>
              <w:t>United Kingdom</w:t>
            </w:r>
          </w:p>
        </w:tc>
        <w:tc>
          <w:tcPr>
            <w:tcW w:w="0" w:type="auto"/>
            <w:gridSpan w:val="3"/>
            <w:tcBorders>
              <w:top w:val="nil"/>
              <w:left w:val="nil"/>
              <w:bottom w:val="nil"/>
              <w:right w:val="nil"/>
            </w:tcBorders>
            <w:shd w:val="clear" w:color="auto" w:fill="auto"/>
            <w:noWrap/>
            <w:vAlign w:val="bottom"/>
            <w:hideMark/>
          </w:tcPr>
          <w:p w14:paraId="6FE79AF3" w14:textId="77777777" w:rsidR="00336996" w:rsidRPr="006119EA" w:rsidRDefault="00336996" w:rsidP="00336996">
            <w:pPr>
              <w:rPr>
                <w:rFonts w:eastAsia="Times New Roman"/>
                <w:color w:val="000000"/>
                <w:lang w:eastAsia="ko-KR"/>
              </w:rPr>
            </w:pPr>
          </w:p>
        </w:tc>
        <w:tc>
          <w:tcPr>
            <w:tcW w:w="0" w:type="auto"/>
            <w:tcBorders>
              <w:top w:val="nil"/>
              <w:left w:val="nil"/>
              <w:bottom w:val="nil"/>
              <w:right w:val="nil"/>
            </w:tcBorders>
            <w:shd w:val="clear" w:color="auto" w:fill="auto"/>
            <w:noWrap/>
            <w:vAlign w:val="bottom"/>
            <w:hideMark/>
          </w:tcPr>
          <w:p w14:paraId="2330494D" w14:textId="77777777" w:rsidR="00336996" w:rsidRPr="006119EA" w:rsidRDefault="00336996" w:rsidP="00336996">
            <w:pPr>
              <w:rPr>
                <w:rFonts w:eastAsia="Times New Roman"/>
                <w:color w:val="000000"/>
                <w:lang w:eastAsia="ko-KR"/>
              </w:rPr>
            </w:pPr>
          </w:p>
        </w:tc>
        <w:tc>
          <w:tcPr>
            <w:tcW w:w="0" w:type="auto"/>
            <w:tcBorders>
              <w:top w:val="nil"/>
              <w:left w:val="nil"/>
              <w:bottom w:val="nil"/>
              <w:right w:val="nil"/>
            </w:tcBorders>
            <w:shd w:val="clear" w:color="auto" w:fill="auto"/>
            <w:noWrap/>
            <w:vAlign w:val="bottom"/>
            <w:hideMark/>
          </w:tcPr>
          <w:p w14:paraId="0E78CD8B" w14:textId="77777777" w:rsidR="00336996" w:rsidRPr="006119EA" w:rsidRDefault="00336996" w:rsidP="00336996">
            <w:pPr>
              <w:rPr>
                <w:rFonts w:eastAsia="Times New Roman"/>
                <w:color w:val="000000"/>
                <w:lang w:eastAsia="ko-KR"/>
              </w:rPr>
            </w:pPr>
          </w:p>
        </w:tc>
      </w:tr>
      <w:tr w:rsidR="00336996" w:rsidRPr="006119EA" w14:paraId="05598C57" w14:textId="77777777" w:rsidTr="00336996">
        <w:trPr>
          <w:trHeight w:val="315"/>
        </w:trPr>
        <w:tc>
          <w:tcPr>
            <w:tcW w:w="0" w:type="auto"/>
            <w:tcBorders>
              <w:top w:val="nil"/>
              <w:left w:val="nil"/>
              <w:bottom w:val="nil"/>
              <w:right w:val="nil"/>
            </w:tcBorders>
            <w:shd w:val="clear" w:color="auto" w:fill="auto"/>
            <w:noWrap/>
            <w:vAlign w:val="bottom"/>
            <w:hideMark/>
          </w:tcPr>
          <w:p w14:paraId="6DB657FC" w14:textId="77777777" w:rsidR="00336996" w:rsidRPr="006119EA" w:rsidRDefault="00336996" w:rsidP="00336996">
            <w:pPr>
              <w:rPr>
                <w:rFonts w:eastAsia="Times New Roman"/>
                <w:color w:val="000000"/>
                <w:lang w:eastAsia="ko-KR"/>
              </w:rPr>
            </w:pPr>
            <w:r w:rsidRPr="006119EA">
              <w:rPr>
                <w:rFonts w:eastAsia="Times New Roman"/>
                <w:color w:val="000000"/>
                <w:lang w:eastAsia="ko-KR"/>
              </w:rPr>
              <w:t>Switzerland</w:t>
            </w:r>
          </w:p>
        </w:tc>
        <w:tc>
          <w:tcPr>
            <w:tcW w:w="0" w:type="auto"/>
            <w:gridSpan w:val="4"/>
            <w:tcBorders>
              <w:top w:val="nil"/>
              <w:left w:val="nil"/>
              <w:bottom w:val="nil"/>
              <w:right w:val="nil"/>
            </w:tcBorders>
            <w:shd w:val="clear" w:color="auto" w:fill="auto"/>
            <w:noWrap/>
            <w:vAlign w:val="bottom"/>
          </w:tcPr>
          <w:p w14:paraId="075A3DDC" w14:textId="21B3F774" w:rsidR="00336996" w:rsidRPr="006119EA" w:rsidRDefault="00336996" w:rsidP="00336996">
            <w:pPr>
              <w:rPr>
                <w:rFonts w:eastAsia="Times New Roman"/>
                <w:color w:val="000000"/>
                <w:lang w:eastAsia="ko-KR"/>
              </w:rPr>
            </w:pPr>
            <w:r w:rsidRPr="006119EA">
              <w:rPr>
                <w:rFonts w:eastAsia="Times New Roman"/>
                <w:color w:val="000000"/>
                <w:lang w:eastAsia="ko-KR"/>
              </w:rPr>
              <w:t>United States</w:t>
            </w:r>
          </w:p>
        </w:tc>
        <w:tc>
          <w:tcPr>
            <w:tcW w:w="0" w:type="auto"/>
            <w:tcBorders>
              <w:top w:val="nil"/>
              <w:left w:val="nil"/>
              <w:bottom w:val="nil"/>
              <w:right w:val="nil"/>
            </w:tcBorders>
            <w:shd w:val="clear" w:color="auto" w:fill="auto"/>
            <w:noWrap/>
            <w:vAlign w:val="bottom"/>
            <w:hideMark/>
          </w:tcPr>
          <w:p w14:paraId="2C03D633" w14:textId="77777777" w:rsidR="00336996" w:rsidRPr="006119EA" w:rsidRDefault="00336996" w:rsidP="00336996">
            <w:pPr>
              <w:rPr>
                <w:rFonts w:eastAsia="Times New Roman"/>
                <w:color w:val="000000"/>
                <w:lang w:eastAsia="ko-KR"/>
              </w:rPr>
            </w:pPr>
          </w:p>
        </w:tc>
        <w:tc>
          <w:tcPr>
            <w:tcW w:w="0" w:type="auto"/>
            <w:tcBorders>
              <w:top w:val="nil"/>
              <w:left w:val="nil"/>
              <w:bottom w:val="nil"/>
              <w:right w:val="nil"/>
            </w:tcBorders>
            <w:shd w:val="clear" w:color="auto" w:fill="auto"/>
            <w:noWrap/>
            <w:vAlign w:val="bottom"/>
            <w:hideMark/>
          </w:tcPr>
          <w:p w14:paraId="2A3D1BA0" w14:textId="77777777" w:rsidR="00336996" w:rsidRPr="006119EA" w:rsidRDefault="00336996" w:rsidP="00336996">
            <w:pPr>
              <w:rPr>
                <w:rFonts w:eastAsia="Times New Roman"/>
                <w:color w:val="000000"/>
                <w:lang w:eastAsia="ko-KR"/>
              </w:rPr>
            </w:pPr>
          </w:p>
        </w:tc>
      </w:tr>
      <w:tr w:rsidR="00336996" w:rsidRPr="00374DCC" w14:paraId="79C99863" w14:textId="77777777" w:rsidTr="00D90156">
        <w:trPr>
          <w:gridAfter w:val="1"/>
          <w:trHeight w:val="315"/>
        </w:trPr>
        <w:tc>
          <w:tcPr>
            <w:tcW w:w="0" w:type="auto"/>
            <w:tcBorders>
              <w:top w:val="single" w:sz="4" w:space="0" w:color="auto"/>
              <w:left w:val="nil"/>
              <w:bottom w:val="single" w:sz="4" w:space="0" w:color="auto"/>
              <w:right w:val="nil"/>
            </w:tcBorders>
            <w:shd w:val="clear" w:color="auto" w:fill="auto"/>
            <w:noWrap/>
            <w:vAlign w:val="bottom"/>
            <w:hideMark/>
          </w:tcPr>
          <w:p w14:paraId="5FDD2FC8" w14:textId="77777777" w:rsidR="00336996" w:rsidRPr="00374DCC" w:rsidRDefault="00336996" w:rsidP="00336996">
            <w:pPr>
              <w:rPr>
                <w:rFonts w:eastAsia="Times New Roman"/>
                <w:i/>
                <w:color w:val="000000"/>
                <w:lang w:eastAsia="ko-KR"/>
              </w:rPr>
            </w:pPr>
            <w:r w:rsidRPr="00374DCC">
              <w:rPr>
                <w:rFonts w:eastAsia="Times New Roman"/>
                <w:i/>
                <w:color w:val="000000"/>
                <w:lang w:eastAsia="ko-KR"/>
              </w:rPr>
              <w:t xml:space="preserve">Dual </w:t>
            </w:r>
          </w:p>
        </w:tc>
        <w:tc>
          <w:tcPr>
            <w:tcW w:w="0" w:type="auto"/>
            <w:tcBorders>
              <w:top w:val="single" w:sz="4" w:space="0" w:color="auto"/>
              <w:left w:val="nil"/>
              <w:bottom w:val="single" w:sz="4" w:space="0" w:color="auto"/>
              <w:right w:val="nil"/>
            </w:tcBorders>
            <w:shd w:val="clear" w:color="auto" w:fill="auto"/>
            <w:noWrap/>
            <w:vAlign w:val="bottom"/>
            <w:hideMark/>
          </w:tcPr>
          <w:p w14:paraId="437EE306" w14:textId="77777777" w:rsidR="00336996" w:rsidRPr="00374DCC" w:rsidRDefault="00336996" w:rsidP="00336996">
            <w:pPr>
              <w:rPr>
                <w:rFonts w:eastAsia="Times New Roman"/>
                <w:i/>
                <w:color w:val="000000"/>
                <w:lang w:eastAsia="ko-KR"/>
              </w:rPr>
            </w:pPr>
            <w:r w:rsidRPr="00374DCC">
              <w:rPr>
                <w:rFonts w:eastAsia="Times New Roman"/>
                <w:i/>
                <w:color w:val="000000"/>
                <w:lang w:eastAsia="ko-KR"/>
              </w:rPr>
              <w:t>Productive</w:t>
            </w:r>
          </w:p>
        </w:tc>
        <w:tc>
          <w:tcPr>
            <w:tcW w:w="0" w:type="auto"/>
            <w:gridSpan w:val="3"/>
            <w:tcBorders>
              <w:top w:val="single" w:sz="4" w:space="0" w:color="auto"/>
              <w:left w:val="nil"/>
              <w:bottom w:val="single" w:sz="4" w:space="0" w:color="auto"/>
              <w:right w:val="nil"/>
            </w:tcBorders>
            <w:shd w:val="clear" w:color="auto" w:fill="auto"/>
            <w:noWrap/>
            <w:vAlign w:val="bottom"/>
            <w:hideMark/>
          </w:tcPr>
          <w:p w14:paraId="75D82F13" w14:textId="77777777" w:rsidR="00336996" w:rsidRPr="00374DCC" w:rsidRDefault="00336996" w:rsidP="00336996">
            <w:pPr>
              <w:rPr>
                <w:rFonts w:eastAsia="Times New Roman"/>
                <w:i/>
                <w:color w:val="000000"/>
                <w:lang w:eastAsia="ko-KR"/>
              </w:rPr>
            </w:pPr>
            <w:r w:rsidRPr="00374DCC">
              <w:rPr>
                <w:rFonts w:eastAsia="Times New Roman"/>
                <w:i/>
                <w:color w:val="000000"/>
                <w:lang w:eastAsia="ko-KR"/>
              </w:rPr>
              <w:t>Protective</w:t>
            </w:r>
          </w:p>
        </w:tc>
        <w:tc>
          <w:tcPr>
            <w:tcW w:w="0" w:type="auto"/>
            <w:tcBorders>
              <w:top w:val="single" w:sz="4" w:space="0" w:color="auto"/>
              <w:left w:val="nil"/>
              <w:bottom w:val="single" w:sz="4" w:space="0" w:color="auto"/>
              <w:right w:val="nil"/>
            </w:tcBorders>
            <w:shd w:val="clear" w:color="auto" w:fill="auto"/>
            <w:noWrap/>
            <w:vAlign w:val="bottom"/>
            <w:hideMark/>
          </w:tcPr>
          <w:p w14:paraId="0192DA33" w14:textId="77777777" w:rsidR="00336996" w:rsidRPr="00374DCC" w:rsidRDefault="00336996" w:rsidP="00336996">
            <w:pPr>
              <w:rPr>
                <w:rFonts w:eastAsia="Times New Roman"/>
                <w:i/>
                <w:color w:val="000000"/>
                <w:lang w:eastAsia="ko-KR"/>
              </w:rPr>
            </w:pPr>
            <w:r w:rsidRPr="00374DCC">
              <w:rPr>
                <w:rFonts w:eastAsia="Times New Roman"/>
                <w:i/>
                <w:color w:val="000000"/>
                <w:lang w:eastAsia="ko-KR"/>
              </w:rPr>
              <w:t>CEE</w:t>
            </w:r>
          </w:p>
        </w:tc>
      </w:tr>
      <w:tr w:rsidR="00336996" w:rsidRPr="006119EA" w14:paraId="7497A102" w14:textId="77777777" w:rsidTr="00D90156">
        <w:trPr>
          <w:gridAfter w:val="1"/>
          <w:trHeight w:val="315"/>
        </w:trPr>
        <w:tc>
          <w:tcPr>
            <w:tcW w:w="0" w:type="auto"/>
            <w:tcBorders>
              <w:top w:val="single" w:sz="4" w:space="0" w:color="auto"/>
              <w:left w:val="nil"/>
              <w:bottom w:val="nil"/>
              <w:right w:val="nil"/>
            </w:tcBorders>
            <w:shd w:val="clear" w:color="auto" w:fill="auto"/>
            <w:noWrap/>
            <w:vAlign w:val="bottom"/>
            <w:hideMark/>
          </w:tcPr>
          <w:p w14:paraId="45E80135" w14:textId="77777777" w:rsidR="00336996" w:rsidRPr="006119EA" w:rsidRDefault="00336996" w:rsidP="00336996">
            <w:pPr>
              <w:rPr>
                <w:rFonts w:eastAsia="Times New Roman"/>
                <w:color w:val="000000"/>
                <w:lang w:eastAsia="ko-KR"/>
              </w:rPr>
            </w:pPr>
            <w:r w:rsidRPr="006119EA">
              <w:rPr>
                <w:rFonts w:eastAsia="Times New Roman"/>
                <w:color w:val="000000"/>
                <w:lang w:eastAsia="ko-KR"/>
              </w:rPr>
              <w:t>Argentina</w:t>
            </w:r>
          </w:p>
        </w:tc>
        <w:tc>
          <w:tcPr>
            <w:tcW w:w="0" w:type="auto"/>
            <w:tcBorders>
              <w:top w:val="single" w:sz="4" w:space="0" w:color="auto"/>
              <w:left w:val="nil"/>
              <w:bottom w:val="nil"/>
              <w:right w:val="nil"/>
            </w:tcBorders>
            <w:shd w:val="clear" w:color="auto" w:fill="auto"/>
            <w:noWrap/>
            <w:vAlign w:val="bottom"/>
            <w:hideMark/>
          </w:tcPr>
          <w:p w14:paraId="70831B34" w14:textId="77777777" w:rsidR="00336996" w:rsidRPr="006119EA" w:rsidRDefault="00336996" w:rsidP="00336996">
            <w:pPr>
              <w:rPr>
                <w:rFonts w:eastAsia="Times New Roman"/>
                <w:color w:val="000000"/>
                <w:lang w:eastAsia="ko-KR"/>
              </w:rPr>
            </w:pPr>
            <w:r w:rsidRPr="006119EA">
              <w:rPr>
                <w:rFonts w:eastAsia="Times New Roman"/>
                <w:color w:val="000000"/>
                <w:lang w:eastAsia="ko-KR"/>
              </w:rPr>
              <w:t>Chile</w:t>
            </w:r>
          </w:p>
        </w:tc>
        <w:tc>
          <w:tcPr>
            <w:tcW w:w="0" w:type="auto"/>
            <w:gridSpan w:val="3"/>
            <w:tcBorders>
              <w:top w:val="single" w:sz="4" w:space="0" w:color="auto"/>
              <w:left w:val="nil"/>
              <w:bottom w:val="nil"/>
              <w:right w:val="nil"/>
            </w:tcBorders>
            <w:shd w:val="clear" w:color="auto" w:fill="auto"/>
            <w:noWrap/>
            <w:vAlign w:val="bottom"/>
            <w:hideMark/>
          </w:tcPr>
          <w:p w14:paraId="70B788A2" w14:textId="77777777" w:rsidR="00336996" w:rsidRPr="006119EA" w:rsidRDefault="00336996" w:rsidP="00336996">
            <w:pPr>
              <w:rPr>
                <w:rFonts w:eastAsia="Times New Roman"/>
                <w:color w:val="000000"/>
                <w:lang w:eastAsia="ko-KR"/>
              </w:rPr>
            </w:pPr>
            <w:r w:rsidRPr="006119EA">
              <w:rPr>
                <w:rFonts w:eastAsia="Times New Roman"/>
                <w:color w:val="000000"/>
                <w:lang w:eastAsia="ko-KR"/>
              </w:rPr>
              <w:t>Dominican Republic</w:t>
            </w:r>
          </w:p>
        </w:tc>
        <w:tc>
          <w:tcPr>
            <w:tcW w:w="0" w:type="auto"/>
            <w:tcBorders>
              <w:top w:val="single" w:sz="4" w:space="0" w:color="auto"/>
              <w:left w:val="nil"/>
              <w:bottom w:val="nil"/>
              <w:right w:val="nil"/>
            </w:tcBorders>
            <w:shd w:val="clear" w:color="auto" w:fill="auto"/>
            <w:noWrap/>
            <w:vAlign w:val="bottom"/>
            <w:hideMark/>
          </w:tcPr>
          <w:p w14:paraId="4C019AAC" w14:textId="77777777" w:rsidR="00336996" w:rsidRPr="006119EA" w:rsidRDefault="00336996" w:rsidP="00336996">
            <w:pPr>
              <w:rPr>
                <w:rFonts w:eastAsia="Times New Roman"/>
                <w:color w:val="000000"/>
                <w:lang w:eastAsia="ko-KR"/>
              </w:rPr>
            </w:pPr>
            <w:r w:rsidRPr="006119EA">
              <w:rPr>
                <w:rFonts w:eastAsia="Times New Roman"/>
                <w:color w:val="000000"/>
                <w:lang w:eastAsia="ko-KR"/>
              </w:rPr>
              <w:t>Czech Republic</w:t>
            </w:r>
          </w:p>
        </w:tc>
      </w:tr>
      <w:tr w:rsidR="00336996" w:rsidRPr="006119EA" w14:paraId="07B7AF4F" w14:textId="77777777" w:rsidTr="00D90156">
        <w:trPr>
          <w:gridAfter w:val="1"/>
          <w:trHeight w:val="315"/>
        </w:trPr>
        <w:tc>
          <w:tcPr>
            <w:tcW w:w="0" w:type="auto"/>
            <w:tcBorders>
              <w:top w:val="nil"/>
              <w:left w:val="nil"/>
              <w:bottom w:val="nil"/>
              <w:right w:val="nil"/>
            </w:tcBorders>
            <w:shd w:val="clear" w:color="auto" w:fill="auto"/>
            <w:noWrap/>
            <w:vAlign w:val="bottom"/>
            <w:hideMark/>
          </w:tcPr>
          <w:p w14:paraId="7808B279" w14:textId="77777777" w:rsidR="00336996" w:rsidRPr="006119EA" w:rsidRDefault="00336996" w:rsidP="00336996">
            <w:pPr>
              <w:rPr>
                <w:rFonts w:eastAsia="Times New Roman"/>
                <w:color w:val="000000"/>
                <w:lang w:eastAsia="ko-KR"/>
              </w:rPr>
            </w:pPr>
            <w:r w:rsidRPr="006119EA">
              <w:rPr>
                <w:rFonts w:eastAsia="Times New Roman"/>
                <w:color w:val="000000"/>
                <w:lang w:eastAsia="ko-KR"/>
              </w:rPr>
              <w:t>Brazil</w:t>
            </w:r>
          </w:p>
        </w:tc>
        <w:tc>
          <w:tcPr>
            <w:tcW w:w="0" w:type="auto"/>
            <w:tcBorders>
              <w:top w:val="nil"/>
              <w:left w:val="nil"/>
              <w:bottom w:val="nil"/>
              <w:right w:val="nil"/>
            </w:tcBorders>
            <w:shd w:val="clear" w:color="auto" w:fill="auto"/>
            <w:noWrap/>
            <w:vAlign w:val="bottom"/>
            <w:hideMark/>
          </w:tcPr>
          <w:p w14:paraId="00B3C9C4" w14:textId="77777777" w:rsidR="00336996" w:rsidRPr="006119EA" w:rsidRDefault="00336996" w:rsidP="00336996">
            <w:pPr>
              <w:rPr>
                <w:rFonts w:eastAsia="Times New Roman"/>
                <w:color w:val="000000"/>
                <w:lang w:eastAsia="ko-KR"/>
              </w:rPr>
            </w:pPr>
            <w:r w:rsidRPr="006119EA">
              <w:rPr>
                <w:rFonts w:eastAsia="Times New Roman"/>
                <w:color w:val="000000"/>
                <w:lang w:eastAsia="ko-KR"/>
              </w:rPr>
              <w:t>Colombia</w:t>
            </w:r>
          </w:p>
        </w:tc>
        <w:tc>
          <w:tcPr>
            <w:tcW w:w="0" w:type="auto"/>
            <w:gridSpan w:val="3"/>
            <w:tcBorders>
              <w:top w:val="nil"/>
              <w:left w:val="nil"/>
              <w:bottom w:val="nil"/>
              <w:right w:val="nil"/>
            </w:tcBorders>
            <w:shd w:val="clear" w:color="auto" w:fill="auto"/>
            <w:noWrap/>
            <w:vAlign w:val="bottom"/>
            <w:hideMark/>
          </w:tcPr>
          <w:p w14:paraId="0C5016C9" w14:textId="77777777" w:rsidR="00336996" w:rsidRPr="006119EA" w:rsidRDefault="00336996" w:rsidP="00336996">
            <w:pPr>
              <w:rPr>
                <w:rFonts w:eastAsia="Times New Roman"/>
                <w:color w:val="000000"/>
                <w:lang w:eastAsia="ko-KR"/>
              </w:rPr>
            </w:pPr>
            <w:r w:rsidRPr="006119EA">
              <w:rPr>
                <w:rFonts w:eastAsia="Times New Roman"/>
                <w:color w:val="000000"/>
                <w:lang w:eastAsia="ko-KR"/>
              </w:rPr>
              <w:t>El Salvador</w:t>
            </w:r>
          </w:p>
        </w:tc>
        <w:tc>
          <w:tcPr>
            <w:tcW w:w="0" w:type="auto"/>
            <w:tcBorders>
              <w:top w:val="nil"/>
              <w:left w:val="nil"/>
              <w:bottom w:val="nil"/>
              <w:right w:val="nil"/>
            </w:tcBorders>
            <w:shd w:val="clear" w:color="auto" w:fill="auto"/>
            <w:noWrap/>
            <w:vAlign w:val="bottom"/>
            <w:hideMark/>
          </w:tcPr>
          <w:p w14:paraId="7786C16F" w14:textId="77777777" w:rsidR="00336996" w:rsidRPr="006119EA" w:rsidRDefault="00336996" w:rsidP="00336996">
            <w:pPr>
              <w:rPr>
                <w:rFonts w:eastAsia="Times New Roman"/>
                <w:color w:val="000000"/>
                <w:lang w:eastAsia="ko-KR"/>
              </w:rPr>
            </w:pPr>
            <w:r w:rsidRPr="006119EA">
              <w:rPr>
                <w:rFonts w:eastAsia="Times New Roman"/>
                <w:color w:val="000000"/>
                <w:lang w:eastAsia="ko-KR"/>
              </w:rPr>
              <w:t>Estonia</w:t>
            </w:r>
          </w:p>
        </w:tc>
      </w:tr>
      <w:tr w:rsidR="00336996" w:rsidRPr="006119EA" w14:paraId="375716CC" w14:textId="77777777" w:rsidTr="00D90156">
        <w:trPr>
          <w:gridAfter w:val="1"/>
          <w:trHeight w:val="315"/>
        </w:trPr>
        <w:tc>
          <w:tcPr>
            <w:tcW w:w="0" w:type="auto"/>
            <w:tcBorders>
              <w:top w:val="nil"/>
              <w:left w:val="nil"/>
              <w:bottom w:val="nil"/>
              <w:right w:val="nil"/>
            </w:tcBorders>
            <w:shd w:val="clear" w:color="auto" w:fill="auto"/>
            <w:noWrap/>
            <w:vAlign w:val="bottom"/>
            <w:hideMark/>
          </w:tcPr>
          <w:p w14:paraId="2CCD1BD4" w14:textId="77777777" w:rsidR="00336996" w:rsidRPr="006119EA" w:rsidRDefault="00336996" w:rsidP="00336996">
            <w:pPr>
              <w:rPr>
                <w:rFonts w:eastAsia="Times New Roman"/>
                <w:color w:val="000000"/>
                <w:lang w:eastAsia="ko-KR"/>
              </w:rPr>
            </w:pPr>
            <w:r w:rsidRPr="006119EA">
              <w:rPr>
                <w:rFonts w:eastAsia="Times New Roman"/>
                <w:color w:val="000000"/>
                <w:lang w:eastAsia="ko-KR"/>
              </w:rPr>
              <w:t>Mexico</w:t>
            </w:r>
          </w:p>
        </w:tc>
        <w:tc>
          <w:tcPr>
            <w:tcW w:w="0" w:type="auto"/>
            <w:tcBorders>
              <w:top w:val="nil"/>
              <w:left w:val="nil"/>
              <w:bottom w:val="nil"/>
              <w:right w:val="nil"/>
            </w:tcBorders>
            <w:shd w:val="clear" w:color="auto" w:fill="auto"/>
            <w:noWrap/>
            <w:vAlign w:val="bottom"/>
            <w:hideMark/>
          </w:tcPr>
          <w:p w14:paraId="53B15B59" w14:textId="77777777" w:rsidR="00336996" w:rsidRPr="006119EA" w:rsidRDefault="00336996" w:rsidP="00336996">
            <w:pPr>
              <w:rPr>
                <w:rFonts w:eastAsia="Times New Roman"/>
                <w:color w:val="000000"/>
                <w:lang w:eastAsia="ko-KR"/>
              </w:rPr>
            </w:pPr>
            <w:r w:rsidRPr="006119EA">
              <w:rPr>
                <w:rFonts w:eastAsia="Times New Roman"/>
                <w:color w:val="000000"/>
                <w:lang w:eastAsia="ko-KR"/>
              </w:rPr>
              <w:t>Costa Rica</w:t>
            </w:r>
          </w:p>
        </w:tc>
        <w:tc>
          <w:tcPr>
            <w:tcW w:w="0" w:type="auto"/>
            <w:gridSpan w:val="3"/>
            <w:tcBorders>
              <w:top w:val="nil"/>
              <w:left w:val="nil"/>
              <w:bottom w:val="nil"/>
              <w:right w:val="nil"/>
            </w:tcBorders>
            <w:shd w:val="clear" w:color="auto" w:fill="auto"/>
            <w:noWrap/>
            <w:vAlign w:val="bottom"/>
            <w:hideMark/>
          </w:tcPr>
          <w:p w14:paraId="560A3C2C" w14:textId="77777777" w:rsidR="00336996" w:rsidRPr="006119EA" w:rsidRDefault="00336996" w:rsidP="00336996">
            <w:pPr>
              <w:rPr>
                <w:rFonts w:eastAsia="Times New Roman"/>
                <w:color w:val="000000"/>
                <w:lang w:eastAsia="ko-KR"/>
              </w:rPr>
            </w:pPr>
            <w:r w:rsidRPr="006119EA">
              <w:rPr>
                <w:rFonts w:eastAsia="Times New Roman"/>
                <w:color w:val="000000"/>
                <w:lang w:eastAsia="ko-KR"/>
              </w:rPr>
              <w:t>India</w:t>
            </w:r>
          </w:p>
        </w:tc>
        <w:tc>
          <w:tcPr>
            <w:tcW w:w="0" w:type="auto"/>
            <w:tcBorders>
              <w:top w:val="nil"/>
              <w:left w:val="nil"/>
              <w:bottom w:val="nil"/>
              <w:right w:val="nil"/>
            </w:tcBorders>
            <w:shd w:val="clear" w:color="auto" w:fill="auto"/>
            <w:noWrap/>
            <w:vAlign w:val="bottom"/>
            <w:hideMark/>
          </w:tcPr>
          <w:p w14:paraId="61B351D4" w14:textId="77777777" w:rsidR="00336996" w:rsidRPr="006119EA" w:rsidRDefault="00336996" w:rsidP="00336996">
            <w:pPr>
              <w:rPr>
                <w:rFonts w:eastAsia="Times New Roman"/>
                <w:color w:val="000000"/>
                <w:lang w:eastAsia="ko-KR"/>
              </w:rPr>
            </w:pPr>
            <w:r w:rsidRPr="006119EA">
              <w:rPr>
                <w:rFonts w:eastAsia="Times New Roman"/>
                <w:color w:val="000000"/>
                <w:lang w:eastAsia="ko-KR"/>
              </w:rPr>
              <w:t>Hungary</w:t>
            </w:r>
          </w:p>
        </w:tc>
      </w:tr>
      <w:tr w:rsidR="00336996" w:rsidRPr="006119EA" w14:paraId="2B91B72F" w14:textId="77777777" w:rsidTr="00D90156">
        <w:trPr>
          <w:trHeight w:val="315"/>
        </w:trPr>
        <w:tc>
          <w:tcPr>
            <w:tcW w:w="0" w:type="auto"/>
            <w:tcBorders>
              <w:top w:val="nil"/>
              <w:left w:val="nil"/>
              <w:bottom w:val="nil"/>
              <w:right w:val="nil"/>
            </w:tcBorders>
            <w:shd w:val="clear" w:color="auto" w:fill="auto"/>
            <w:noWrap/>
            <w:vAlign w:val="bottom"/>
            <w:hideMark/>
          </w:tcPr>
          <w:p w14:paraId="23124F5A" w14:textId="77777777" w:rsidR="00336996" w:rsidRPr="006119EA" w:rsidRDefault="00336996" w:rsidP="00336996">
            <w:pPr>
              <w:rPr>
                <w:rFonts w:eastAsia="Times New Roman"/>
                <w:color w:val="000000"/>
                <w:lang w:eastAsia="ko-KR"/>
              </w:rPr>
            </w:pPr>
            <w:r w:rsidRPr="006119EA">
              <w:rPr>
                <w:rFonts w:eastAsia="Times New Roman"/>
                <w:color w:val="000000"/>
                <w:lang w:eastAsia="ko-KR"/>
              </w:rPr>
              <w:t>Uruguay</w:t>
            </w:r>
          </w:p>
        </w:tc>
        <w:tc>
          <w:tcPr>
            <w:tcW w:w="0" w:type="auto"/>
            <w:tcBorders>
              <w:top w:val="nil"/>
              <w:left w:val="nil"/>
              <w:bottom w:val="nil"/>
              <w:right w:val="nil"/>
            </w:tcBorders>
            <w:shd w:val="clear" w:color="auto" w:fill="auto"/>
            <w:noWrap/>
            <w:vAlign w:val="bottom"/>
            <w:hideMark/>
          </w:tcPr>
          <w:p w14:paraId="107AEEDD" w14:textId="77777777" w:rsidR="00336996" w:rsidRPr="006119EA" w:rsidRDefault="00336996" w:rsidP="00336996">
            <w:pPr>
              <w:rPr>
                <w:rFonts w:eastAsia="Times New Roman"/>
                <w:color w:val="000000"/>
                <w:lang w:eastAsia="ko-KR"/>
              </w:rPr>
            </w:pPr>
            <w:r w:rsidRPr="006119EA">
              <w:rPr>
                <w:rFonts w:eastAsia="Times New Roman"/>
                <w:color w:val="000000"/>
                <w:lang w:eastAsia="ko-KR"/>
              </w:rPr>
              <w:t>Israel</w:t>
            </w:r>
          </w:p>
        </w:tc>
        <w:tc>
          <w:tcPr>
            <w:tcW w:w="0" w:type="auto"/>
            <w:gridSpan w:val="3"/>
            <w:tcBorders>
              <w:top w:val="nil"/>
              <w:left w:val="nil"/>
              <w:bottom w:val="nil"/>
              <w:right w:val="nil"/>
            </w:tcBorders>
            <w:shd w:val="clear" w:color="auto" w:fill="auto"/>
            <w:noWrap/>
            <w:vAlign w:val="bottom"/>
            <w:hideMark/>
          </w:tcPr>
          <w:p w14:paraId="572A4C7B" w14:textId="77777777" w:rsidR="00336996" w:rsidRPr="006119EA" w:rsidRDefault="00336996" w:rsidP="00336996">
            <w:pPr>
              <w:rPr>
                <w:rFonts w:eastAsia="Times New Roman"/>
                <w:color w:val="000000"/>
                <w:lang w:eastAsia="ko-KR"/>
              </w:rPr>
            </w:pPr>
          </w:p>
        </w:tc>
        <w:tc>
          <w:tcPr>
            <w:tcW w:w="0" w:type="auto"/>
            <w:tcBorders>
              <w:top w:val="nil"/>
              <w:left w:val="nil"/>
              <w:bottom w:val="nil"/>
              <w:right w:val="nil"/>
            </w:tcBorders>
            <w:shd w:val="clear" w:color="auto" w:fill="auto"/>
            <w:noWrap/>
            <w:vAlign w:val="bottom"/>
            <w:hideMark/>
          </w:tcPr>
          <w:p w14:paraId="0CC4ED5E" w14:textId="77777777" w:rsidR="00336996" w:rsidRPr="006119EA" w:rsidRDefault="00336996" w:rsidP="00336996">
            <w:pPr>
              <w:rPr>
                <w:rFonts w:eastAsia="Times New Roman"/>
                <w:color w:val="000000"/>
                <w:lang w:eastAsia="ko-KR"/>
              </w:rPr>
            </w:pPr>
            <w:r w:rsidRPr="006119EA">
              <w:rPr>
                <w:rFonts w:eastAsia="Times New Roman"/>
                <w:color w:val="000000"/>
                <w:lang w:eastAsia="ko-KR"/>
              </w:rPr>
              <w:t>Latvia</w:t>
            </w:r>
          </w:p>
        </w:tc>
        <w:tc>
          <w:tcPr>
            <w:tcW w:w="0" w:type="auto"/>
            <w:tcBorders>
              <w:top w:val="nil"/>
              <w:left w:val="nil"/>
              <w:bottom w:val="nil"/>
              <w:right w:val="nil"/>
            </w:tcBorders>
            <w:shd w:val="clear" w:color="auto" w:fill="auto"/>
            <w:noWrap/>
            <w:vAlign w:val="bottom"/>
            <w:hideMark/>
          </w:tcPr>
          <w:p w14:paraId="79D2EB16" w14:textId="77777777" w:rsidR="00336996" w:rsidRPr="006119EA" w:rsidRDefault="00336996" w:rsidP="00336996">
            <w:pPr>
              <w:rPr>
                <w:rFonts w:eastAsia="Times New Roman"/>
                <w:color w:val="000000"/>
                <w:lang w:eastAsia="ko-KR"/>
              </w:rPr>
            </w:pPr>
          </w:p>
        </w:tc>
      </w:tr>
      <w:tr w:rsidR="00336996" w:rsidRPr="006119EA" w14:paraId="467DBBBF" w14:textId="77777777" w:rsidTr="00D90156">
        <w:trPr>
          <w:trHeight w:val="315"/>
        </w:trPr>
        <w:tc>
          <w:tcPr>
            <w:tcW w:w="0" w:type="auto"/>
            <w:tcBorders>
              <w:top w:val="nil"/>
              <w:left w:val="nil"/>
              <w:bottom w:val="nil"/>
              <w:right w:val="nil"/>
            </w:tcBorders>
            <w:shd w:val="clear" w:color="auto" w:fill="auto"/>
            <w:noWrap/>
            <w:vAlign w:val="bottom"/>
            <w:hideMark/>
          </w:tcPr>
          <w:p w14:paraId="102D5A39" w14:textId="77777777" w:rsidR="00336996" w:rsidRPr="006119EA" w:rsidRDefault="00336996" w:rsidP="00336996">
            <w:pPr>
              <w:rPr>
                <w:rFonts w:eastAsia="Times New Roman"/>
                <w:color w:val="000000"/>
                <w:lang w:eastAsia="ko-KR"/>
              </w:rPr>
            </w:pPr>
          </w:p>
        </w:tc>
        <w:tc>
          <w:tcPr>
            <w:tcW w:w="0" w:type="auto"/>
            <w:tcBorders>
              <w:top w:val="nil"/>
              <w:left w:val="nil"/>
              <w:bottom w:val="nil"/>
              <w:right w:val="nil"/>
            </w:tcBorders>
            <w:shd w:val="clear" w:color="auto" w:fill="auto"/>
            <w:noWrap/>
            <w:vAlign w:val="bottom"/>
            <w:hideMark/>
          </w:tcPr>
          <w:p w14:paraId="36EAEF82" w14:textId="77777777" w:rsidR="00336996" w:rsidRPr="006119EA" w:rsidRDefault="00336996" w:rsidP="00336996">
            <w:pPr>
              <w:rPr>
                <w:rFonts w:eastAsia="Times New Roman"/>
                <w:color w:val="000000"/>
                <w:lang w:eastAsia="ko-KR"/>
              </w:rPr>
            </w:pPr>
            <w:r w:rsidRPr="006119EA">
              <w:rPr>
                <w:rFonts w:eastAsia="Times New Roman"/>
                <w:color w:val="000000"/>
                <w:lang w:eastAsia="ko-KR"/>
              </w:rPr>
              <w:t>Korea (South)</w:t>
            </w:r>
          </w:p>
        </w:tc>
        <w:tc>
          <w:tcPr>
            <w:tcW w:w="0" w:type="auto"/>
            <w:gridSpan w:val="3"/>
            <w:tcBorders>
              <w:top w:val="nil"/>
              <w:left w:val="nil"/>
              <w:bottom w:val="nil"/>
              <w:right w:val="nil"/>
            </w:tcBorders>
            <w:shd w:val="clear" w:color="auto" w:fill="auto"/>
            <w:noWrap/>
            <w:vAlign w:val="bottom"/>
            <w:hideMark/>
          </w:tcPr>
          <w:p w14:paraId="6DF32DE8" w14:textId="77777777" w:rsidR="00336996" w:rsidRPr="006119EA" w:rsidRDefault="00336996" w:rsidP="00336996">
            <w:pPr>
              <w:rPr>
                <w:rFonts w:eastAsia="Times New Roman"/>
                <w:color w:val="000000"/>
                <w:lang w:eastAsia="ko-KR"/>
              </w:rPr>
            </w:pPr>
          </w:p>
        </w:tc>
        <w:tc>
          <w:tcPr>
            <w:tcW w:w="0" w:type="auto"/>
            <w:tcBorders>
              <w:top w:val="nil"/>
              <w:left w:val="nil"/>
              <w:bottom w:val="nil"/>
              <w:right w:val="nil"/>
            </w:tcBorders>
            <w:shd w:val="clear" w:color="auto" w:fill="auto"/>
            <w:noWrap/>
            <w:vAlign w:val="bottom"/>
            <w:hideMark/>
          </w:tcPr>
          <w:p w14:paraId="25351BC3" w14:textId="77777777" w:rsidR="00336996" w:rsidRPr="006119EA" w:rsidRDefault="00336996" w:rsidP="00336996">
            <w:pPr>
              <w:rPr>
                <w:rFonts w:eastAsia="Times New Roman"/>
                <w:color w:val="000000"/>
                <w:lang w:eastAsia="ko-KR"/>
              </w:rPr>
            </w:pPr>
            <w:r w:rsidRPr="006119EA">
              <w:rPr>
                <w:rFonts w:eastAsia="Times New Roman"/>
                <w:color w:val="000000"/>
                <w:lang w:eastAsia="ko-KR"/>
              </w:rPr>
              <w:t>Lithuania</w:t>
            </w:r>
          </w:p>
        </w:tc>
        <w:tc>
          <w:tcPr>
            <w:tcW w:w="0" w:type="auto"/>
            <w:tcBorders>
              <w:top w:val="nil"/>
              <w:left w:val="nil"/>
              <w:bottom w:val="nil"/>
              <w:right w:val="nil"/>
            </w:tcBorders>
            <w:shd w:val="clear" w:color="auto" w:fill="auto"/>
            <w:noWrap/>
            <w:vAlign w:val="bottom"/>
            <w:hideMark/>
          </w:tcPr>
          <w:p w14:paraId="0176D2B3" w14:textId="77777777" w:rsidR="00336996" w:rsidRPr="006119EA" w:rsidRDefault="00336996" w:rsidP="00336996">
            <w:pPr>
              <w:rPr>
                <w:rFonts w:eastAsia="Times New Roman"/>
                <w:color w:val="000000"/>
                <w:lang w:eastAsia="ko-KR"/>
              </w:rPr>
            </w:pPr>
          </w:p>
        </w:tc>
      </w:tr>
      <w:tr w:rsidR="00336996" w:rsidRPr="006119EA" w14:paraId="6C47B7B6" w14:textId="77777777" w:rsidTr="00D90156">
        <w:trPr>
          <w:trHeight w:val="315"/>
        </w:trPr>
        <w:tc>
          <w:tcPr>
            <w:tcW w:w="0" w:type="auto"/>
            <w:tcBorders>
              <w:top w:val="nil"/>
              <w:left w:val="nil"/>
              <w:bottom w:val="nil"/>
              <w:right w:val="nil"/>
            </w:tcBorders>
            <w:shd w:val="clear" w:color="auto" w:fill="auto"/>
            <w:noWrap/>
            <w:vAlign w:val="bottom"/>
            <w:hideMark/>
          </w:tcPr>
          <w:p w14:paraId="60987A5C" w14:textId="77777777" w:rsidR="00336996" w:rsidRPr="006119EA" w:rsidRDefault="00336996" w:rsidP="00336996">
            <w:pPr>
              <w:rPr>
                <w:rFonts w:eastAsia="Times New Roman"/>
                <w:color w:val="000000"/>
                <w:lang w:eastAsia="ko-KR"/>
              </w:rPr>
            </w:pPr>
          </w:p>
        </w:tc>
        <w:tc>
          <w:tcPr>
            <w:tcW w:w="0" w:type="auto"/>
            <w:tcBorders>
              <w:top w:val="nil"/>
              <w:left w:val="nil"/>
              <w:bottom w:val="nil"/>
              <w:right w:val="nil"/>
            </w:tcBorders>
            <w:shd w:val="clear" w:color="auto" w:fill="auto"/>
            <w:noWrap/>
            <w:vAlign w:val="bottom"/>
            <w:hideMark/>
          </w:tcPr>
          <w:p w14:paraId="549AF6E9" w14:textId="77777777" w:rsidR="00336996" w:rsidRPr="006119EA" w:rsidRDefault="00336996" w:rsidP="00336996">
            <w:pPr>
              <w:rPr>
                <w:rFonts w:eastAsia="Times New Roman"/>
                <w:color w:val="000000"/>
                <w:lang w:eastAsia="ko-KR"/>
              </w:rPr>
            </w:pPr>
            <w:r w:rsidRPr="006119EA">
              <w:rPr>
                <w:rFonts w:eastAsia="Times New Roman"/>
                <w:color w:val="000000"/>
                <w:lang w:eastAsia="ko-KR"/>
              </w:rPr>
              <w:t>Panama</w:t>
            </w:r>
          </w:p>
        </w:tc>
        <w:tc>
          <w:tcPr>
            <w:tcW w:w="0" w:type="auto"/>
            <w:gridSpan w:val="2"/>
            <w:tcBorders>
              <w:top w:val="nil"/>
              <w:left w:val="nil"/>
              <w:bottom w:val="nil"/>
              <w:right w:val="nil"/>
            </w:tcBorders>
            <w:shd w:val="clear" w:color="auto" w:fill="auto"/>
            <w:noWrap/>
            <w:vAlign w:val="bottom"/>
            <w:hideMark/>
          </w:tcPr>
          <w:p w14:paraId="57FF1A2A" w14:textId="77777777" w:rsidR="00336996" w:rsidRPr="006119EA" w:rsidRDefault="00336996" w:rsidP="00336996">
            <w:pPr>
              <w:rPr>
                <w:rFonts w:eastAsia="Times New Roman"/>
                <w:color w:val="000000"/>
                <w:lang w:eastAsia="ko-KR"/>
              </w:rPr>
            </w:pPr>
          </w:p>
        </w:tc>
        <w:tc>
          <w:tcPr>
            <w:tcW w:w="0" w:type="auto"/>
            <w:tcBorders>
              <w:top w:val="nil"/>
              <w:left w:val="nil"/>
              <w:bottom w:val="nil"/>
              <w:right w:val="nil"/>
            </w:tcBorders>
            <w:shd w:val="clear" w:color="auto" w:fill="auto"/>
            <w:vAlign w:val="bottom"/>
          </w:tcPr>
          <w:p w14:paraId="709BAF12" w14:textId="77777777" w:rsidR="00336996" w:rsidRPr="006119EA" w:rsidRDefault="00336996" w:rsidP="00336996">
            <w:pPr>
              <w:rPr>
                <w:rFonts w:eastAsia="Times New Roman"/>
                <w:color w:val="000000"/>
                <w:lang w:eastAsia="ko-KR"/>
              </w:rPr>
            </w:pPr>
          </w:p>
        </w:tc>
        <w:tc>
          <w:tcPr>
            <w:tcW w:w="0" w:type="auto"/>
            <w:tcBorders>
              <w:top w:val="nil"/>
              <w:left w:val="nil"/>
              <w:bottom w:val="nil"/>
              <w:right w:val="nil"/>
            </w:tcBorders>
            <w:shd w:val="clear" w:color="auto" w:fill="auto"/>
            <w:noWrap/>
            <w:vAlign w:val="bottom"/>
            <w:hideMark/>
          </w:tcPr>
          <w:p w14:paraId="1F98425F" w14:textId="77777777" w:rsidR="00336996" w:rsidRPr="006119EA" w:rsidRDefault="00336996" w:rsidP="00336996">
            <w:pPr>
              <w:rPr>
                <w:rFonts w:eastAsia="Times New Roman"/>
                <w:color w:val="000000"/>
                <w:lang w:eastAsia="ko-KR"/>
              </w:rPr>
            </w:pPr>
            <w:r w:rsidRPr="006119EA">
              <w:rPr>
                <w:rFonts w:eastAsia="Times New Roman"/>
                <w:color w:val="000000"/>
                <w:lang w:eastAsia="ko-KR"/>
              </w:rPr>
              <w:t>Poland</w:t>
            </w:r>
          </w:p>
        </w:tc>
        <w:tc>
          <w:tcPr>
            <w:tcW w:w="0" w:type="auto"/>
            <w:tcBorders>
              <w:top w:val="nil"/>
              <w:left w:val="nil"/>
              <w:bottom w:val="nil"/>
              <w:right w:val="nil"/>
            </w:tcBorders>
            <w:shd w:val="clear" w:color="auto" w:fill="auto"/>
            <w:noWrap/>
            <w:vAlign w:val="bottom"/>
            <w:hideMark/>
          </w:tcPr>
          <w:p w14:paraId="2F3701AB" w14:textId="77777777" w:rsidR="00336996" w:rsidRPr="006119EA" w:rsidRDefault="00336996" w:rsidP="00336996">
            <w:pPr>
              <w:rPr>
                <w:rFonts w:eastAsia="Times New Roman"/>
                <w:color w:val="000000"/>
                <w:lang w:eastAsia="ko-KR"/>
              </w:rPr>
            </w:pPr>
          </w:p>
        </w:tc>
      </w:tr>
      <w:tr w:rsidR="00336996" w:rsidRPr="006119EA" w14:paraId="5D20BD61" w14:textId="77777777" w:rsidTr="00D90156">
        <w:trPr>
          <w:trHeight w:val="315"/>
        </w:trPr>
        <w:tc>
          <w:tcPr>
            <w:tcW w:w="0" w:type="auto"/>
            <w:tcBorders>
              <w:top w:val="nil"/>
              <w:left w:val="nil"/>
              <w:bottom w:val="nil"/>
              <w:right w:val="nil"/>
            </w:tcBorders>
            <w:shd w:val="clear" w:color="auto" w:fill="auto"/>
            <w:noWrap/>
            <w:vAlign w:val="bottom"/>
            <w:hideMark/>
          </w:tcPr>
          <w:p w14:paraId="165FC2F9" w14:textId="77777777" w:rsidR="00336996" w:rsidRPr="006119EA" w:rsidRDefault="00336996" w:rsidP="00336996">
            <w:pPr>
              <w:rPr>
                <w:rFonts w:eastAsia="Times New Roman"/>
                <w:color w:val="000000"/>
                <w:lang w:eastAsia="ko-KR"/>
              </w:rPr>
            </w:pPr>
          </w:p>
        </w:tc>
        <w:tc>
          <w:tcPr>
            <w:tcW w:w="0" w:type="auto"/>
            <w:tcBorders>
              <w:top w:val="nil"/>
              <w:left w:val="nil"/>
              <w:bottom w:val="nil"/>
              <w:right w:val="nil"/>
            </w:tcBorders>
            <w:shd w:val="clear" w:color="auto" w:fill="auto"/>
            <w:noWrap/>
            <w:vAlign w:val="bottom"/>
            <w:hideMark/>
          </w:tcPr>
          <w:p w14:paraId="72C775B0" w14:textId="77777777" w:rsidR="00336996" w:rsidRPr="006119EA" w:rsidRDefault="00336996" w:rsidP="00336996">
            <w:pPr>
              <w:rPr>
                <w:rFonts w:eastAsia="Times New Roman"/>
                <w:color w:val="000000"/>
                <w:lang w:eastAsia="ko-KR"/>
              </w:rPr>
            </w:pPr>
            <w:r w:rsidRPr="006119EA">
              <w:rPr>
                <w:rFonts w:eastAsia="Times New Roman"/>
                <w:color w:val="000000"/>
                <w:lang w:eastAsia="ko-KR"/>
              </w:rPr>
              <w:t>Paraguay</w:t>
            </w:r>
          </w:p>
        </w:tc>
        <w:tc>
          <w:tcPr>
            <w:tcW w:w="0" w:type="auto"/>
            <w:gridSpan w:val="3"/>
            <w:tcBorders>
              <w:top w:val="nil"/>
              <w:left w:val="nil"/>
              <w:bottom w:val="nil"/>
              <w:right w:val="nil"/>
            </w:tcBorders>
            <w:shd w:val="clear" w:color="auto" w:fill="auto"/>
            <w:noWrap/>
            <w:vAlign w:val="bottom"/>
            <w:hideMark/>
          </w:tcPr>
          <w:p w14:paraId="68FAD9B8" w14:textId="77777777" w:rsidR="00336996" w:rsidRPr="006119EA" w:rsidRDefault="00336996" w:rsidP="00336996">
            <w:pPr>
              <w:rPr>
                <w:rFonts w:eastAsia="Times New Roman"/>
                <w:color w:val="000000"/>
                <w:lang w:eastAsia="ko-KR"/>
              </w:rPr>
            </w:pPr>
          </w:p>
        </w:tc>
        <w:tc>
          <w:tcPr>
            <w:tcW w:w="0" w:type="auto"/>
            <w:tcBorders>
              <w:top w:val="nil"/>
              <w:left w:val="nil"/>
              <w:bottom w:val="nil"/>
              <w:right w:val="nil"/>
            </w:tcBorders>
            <w:shd w:val="clear" w:color="auto" w:fill="auto"/>
            <w:noWrap/>
            <w:vAlign w:val="bottom"/>
            <w:hideMark/>
          </w:tcPr>
          <w:p w14:paraId="7A7F608D" w14:textId="77777777" w:rsidR="00336996" w:rsidRPr="006119EA" w:rsidRDefault="00336996" w:rsidP="00336996">
            <w:pPr>
              <w:rPr>
                <w:rFonts w:eastAsia="Times New Roman"/>
                <w:color w:val="000000"/>
                <w:lang w:eastAsia="ko-KR"/>
              </w:rPr>
            </w:pPr>
            <w:r>
              <w:rPr>
                <w:rFonts w:eastAsia="Times New Roman"/>
                <w:color w:val="000000"/>
                <w:lang w:eastAsia="ko-KR"/>
              </w:rPr>
              <w:t>Romania</w:t>
            </w:r>
          </w:p>
        </w:tc>
        <w:tc>
          <w:tcPr>
            <w:tcW w:w="0" w:type="auto"/>
            <w:tcBorders>
              <w:top w:val="nil"/>
              <w:left w:val="nil"/>
              <w:bottom w:val="nil"/>
              <w:right w:val="nil"/>
            </w:tcBorders>
            <w:shd w:val="clear" w:color="auto" w:fill="auto"/>
            <w:noWrap/>
            <w:vAlign w:val="bottom"/>
            <w:hideMark/>
          </w:tcPr>
          <w:p w14:paraId="03A7F2F8" w14:textId="77777777" w:rsidR="00336996" w:rsidRPr="006119EA" w:rsidRDefault="00336996" w:rsidP="00336996">
            <w:pPr>
              <w:rPr>
                <w:rFonts w:eastAsia="Times New Roman"/>
                <w:color w:val="000000"/>
                <w:lang w:eastAsia="ko-KR"/>
              </w:rPr>
            </w:pPr>
          </w:p>
        </w:tc>
      </w:tr>
      <w:tr w:rsidR="00336996" w:rsidRPr="006119EA" w14:paraId="0A011080" w14:textId="77777777" w:rsidTr="00D90156">
        <w:trPr>
          <w:trHeight w:val="315"/>
        </w:trPr>
        <w:tc>
          <w:tcPr>
            <w:tcW w:w="0" w:type="auto"/>
            <w:tcBorders>
              <w:top w:val="nil"/>
              <w:left w:val="nil"/>
              <w:bottom w:val="nil"/>
              <w:right w:val="nil"/>
            </w:tcBorders>
            <w:shd w:val="clear" w:color="auto" w:fill="auto"/>
            <w:noWrap/>
            <w:vAlign w:val="bottom"/>
            <w:hideMark/>
          </w:tcPr>
          <w:p w14:paraId="4C0E0F4C" w14:textId="77777777" w:rsidR="00336996" w:rsidRPr="006119EA" w:rsidRDefault="00336996" w:rsidP="00336996">
            <w:pPr>
              <w:rPr>
                <w:rFonts w:eastAsia="Times New Roman"/>
                <w:color w:val="000000"/>
                <w:lang w:eastAsia="ko-KR"/>
              </w:rPr>
            </w:pPr>
          </w:p>
        </w:tc>
        <w:tc>
          <w:tcPr>
            <w:tcW w:w="0" w:type="auto"/>
            <w:tcBorders>
              <w:top w:val="nil"/>
              <w:left w:val="nil"/>
              <w:bottom w:val="nil"/>
              <w:right w:val="nil"/>
            </w:tcBorders>
            <w:shd w:val="clear" w:color="auto" w:fill="auto"/>
            <w:noWrap/>
            <w:vAlign w:val="bottom"/>
            <w:hideMark/>
          </w:tcPr>
          <w:p w14:paraId="526DC760" w14:textId="77777777" w:rsidR="00336996" w:rsidRPr="006119EA" w:rsidRDefault="00336996" w:rsidP="00336996">
            <w:pPr>
              <w:rPr>
                <w:rFonts w:eastAsia="Times New Roman"/>
                <w:color w:val="000000"/>
                <w:lang w:eastAsia="ko-KR"/>
              </w:rPr>
            </w:pPr>
            <w:r>
              <w:rPr>
                <w:rFonts w:eastAsia="Times New Roman"/>
                <w:color w:val="000000"/>
                <w:lang w:eastAsia="ko-KR"/>
              </w:rPr>
              <w:t>Sri Lanka</w:t>
            </w:r>
          </w:p>
        </w:tc>
        <w:tc>
          <w:tcPr>
            <w:tcW w:w="0" w:type="auto"/>
            <w:gridSpan w:val="3"/>
            <w:tcBorders>
              <w:top w:val="nil"/>
              <w:left w:val="nil"/>
              <w:bottom w:val="nil"/>
              <w:right w:val="nil"/>
            </w:tcBorders>
            <w:shd w:val="clear" w:color="auto" w:fill="auto"/>
            <w:noWrap/>
            <w:vAlign w:val="bottom"/>
            <w:hideMark/>
          </w:tcPr>
          <w:p w14:paraId="588695E0" w14:textId="77777777" w:rsidR="00336996" w:rsidRPr="006119EA" w:rsidRDefault="00336996" w:rsidP="00336996">
            <w:pPr>
              <w:rPr>
                <w:rFonts w:eastAsia="Times New Roman"/>
                <w:color w:val="000000"/>
                <w:lang w:eastAsia="ko-KR"/>
              </w:rPr>
            </w:pPr>
          </w:p>
        </w:tc>
        <w:tc>
          <w:tcPr>
            <w:tcW w:w="0" w:type="auto"/>
            <w:tcBorders>
              <w:top w:val="nil"/>
              <w:left w:val="nil"/>
              <w:bottom w:val="nil"/>
              <w:right w:val="nil"/>
            </w:tcBorders>
            <w:shd w:val="clear" w:color="auto" w:fill="auto"/>
            <w:noWrap/>
            <w:vAlign w:val="bottom"/>
            <w:hideMark/>
          </w:tcPr>
          <w:p w14:paraId="3E3090B6" w14:textId="77777777" w:rsidR="00336996" w:rsidRPr="006119EA" w:rsidRDefault="00336996" w:rsidP="00336996">
            <w:pPr>
              <w:rPr>
                <w:rFonts w:eastAsia="Times New Roman"/>
                <w:color w:val="000000"/>
                <w:lang w:eastAsia="ko-KR"/>
              </w:rPr>
            </w:pPr>
            <w:r>
              <w:rPr>
                <w:rFonts w:eastAsia="Times New Roman"/>
                <w:color w:val="000000"/>
                <w:lang w:eastAsia="ko-KR"/>
              </w:rPr>
              <w:t>Slovakia</w:t>
            </w:r>
          </w:p>
        </w:tc>
        <w:tc>
          <w:tcPr>
            <w:tcW w:w="0" w:type="auto"/>
            <w:tcBorders>
              <w:top w:val="nil"/>
              <w:left w:val="nil"/>
              <w:bottom w:val="nil"/>
              <w:right w:val="nil"/>
            </w:tcBorders>
            <w:shd w:val="clear" w:color="auto" w:fill="auto"/>
            <w:noWrap/>
            <w:vAlign w:val="bottom"/>
            <w:hideMark/>
          </w:tcPr>
          <w:p w14:paraId="682C63E4" w14:textId="77777777" w:rsidR="00336996" w:rsidRPr="006119EA" w:rsidRDefault="00336996" w:rsidP="00336996">
            <w:pPr>
              <w:rPr>
                <w:rFonts w:eastAsia="Times New Roman"/>
                <w:color w:val="000000"/>
                <w:lang w:eastAsia="ko-KR"/>
              </w:rPr>
            </w:pPr>
          </w:p>
        </w:tc>
      </w:tr>
      <w:tr w:rsidR="00336996" w:rsidRPr="006119EA" w14:paraId="1EC636E3" w14:textId="77777777" w:rsidTr="00D90156">
        <w:trPr>
          <w:trHeight w:val="315"/>
        </w:trPr>
        <w:tc>
          <w:tcPr>
            <w:tcW w:w="0" w:type="auto"/>
            <w:tcBorders>
              <w:top w:val="nil"/>
              <w:left w:val="nil"/>
              <w:bottom w:val="nil"/>
              <w:right w:val="nil"/>
            </w:tcBorders>
            <w:shd w:val="clear" w:color="auto" w:fill="auto"/>
            <w:noWrap/>
            <w:vAlign w:val="bottom"/>
            <w:hideMark/>
          </w:tcPr>
          <w:p w14:paraId="65E2BCD7" w14:textId="77777777" w:rsidR="00336996" w:rsidRPr="006119EA" w:rsidRDefault="00336996" w:rsidP="00336996">
            <w:pPr>
              <w:rPr>
                <w:rFonts w:eastAsia="Times New Roman"/>
                <w:color w:val="000000"/>
                <w:lang w:eastAsia="ko-KR"/>
              </w:rPr>
            </w:pPr>
          </w:p>
        </w:tc>
        <w:tc>
          <w:tcPr>
            <w:tcW w:w="0" w:type="auto"/>
            <w:tcBorders>
              <w:top w:val="nil"/>
              <w:left w:val="nil"/>
              <w:bottom w:val="nil"/>
              <w:right w:val="nil"/>
            </w:tcBorders>
            <w:shd w:val="clear" w:color="auto" w:fill="auto"/>
            <w:noWrap/>
            <w:vAlign w:val="bottom"/>
            <w:hideMark/>
          </w:tcPr>
          <w:p w14:paraId="467362BD" w14:textId="77777777" w:rsidR="00336996" w:rsidRDefault="00336996" w:rsidP="00336996">
            <w:pPr>
              <w:rPr>
                <w:rFonts w:eastAsia="Times New Roman"/>
                <w:color w:val="000000"/>
                <w:lang w:eastAsia="ko-KR"/>
              </w:rPr>
            </w:pPr>
            <w:r>
              <w:rPr>
                <w:rFonts w:eastAsia="Times New Roman"/>
                <w:color w:val="000000"/>
                <w:lang w:eastAsia="ko-KR"/>
              </w:rPr>
              <w:t>Thailand</w:t>
            </w:r>
          </w:p>
        </w:tc>
        <w:tc>
          <w:tcPr>
            <w:tcW w:w="0" w:type="auto"/>
            <w:gridSpan w:val="3"/>
            <w:tcBorders>
              <w:top w:val="nil"/>
              <w:left w:val="nil"/>
              <w:bottom w:val="nil"/>
              <w:right w:val="nil"/>
            </w:tcBorders>
            <w:shd w:val="clear" w:color="auto" w:fill="auto"/>
            <w:noWrap/>
            <w:vAlign w:val="bottom"/>
            <w:hideMark/>
          </w:tcPr>
          <w:p w14:paraId="539FD64F" w14:textId="77777777" w:rsidR="00336996" w:rsidRPr="006119EA" w:rsidRDefault="00336996" w:rsidP="00336996">
            <w:pPr>
              <w:rPr>
                <w:rFonts w:eastAsia="Times New Roman"/>
                <w:color w:val="000000"/>
                <w:lang w:eastAsia="ko-KR"/>
              </w:rPr>
            </w:pPr>
          </w:p>
        </w:tc>
        <w:tc>
          <w:tcPr>
            <w:tcW w:w="0" w:type="auto"/>
            <w:tcBorders>
              <w:top w:val="nil"/>
              <w:left w:val="nil"/>
              <w:bottom w:val="nil"/>
              <w:right w:val="nil"/>
            </w:tcBorders>
            <w:shd w:val="clear" w:color="auto" w:fill="auto"/>
            <w:noWrap/>
            <w:vAlign w:val="bottom"/>
            <w:hideMark/>
          </w:tcPr>
          <w:p w14:paraId="35ED72E3" w14:textId="77777777" w:rsidR="00336996" w:rsidRPr="006119EA" w:rsidRDefault="00336996" w:rsidP="00336996">
            <w:pPr>
              <w:rPr>
                <w:rFonts w:eastAsia="Times New Roman"/>
                <w:color w:val="000000"/>
                <w:lang w:eastAsia="ko-KR"/>
              </w:rPr>
            </w:pPr>
            <w:r w:rsidRPr="006119EA">
              <w:rPr>
                <w:rFonts w:eastAsia="Times New Roman"/>
                <w:color w:val="000000"/>
                <w:lang w:eastAsia="ko-KR"/>
              </w:rPr>
              <w:t>Slovenia</w:t>
            </w:r>
          </w:p>
        </w:tc>
        <w:tc>
          <w:tcPr>
            <w:tcW w:w="0" w:type="auto"/>
            <w:tcBorders>
              <w:top w:val="nil"/>
              <w:left w:val="nil"/>
              <w:bottom w:val="nil"/>
              <w:right w:val="nil"/>
            </w:tcBorders>
            <w:shd w:val="clear" w:color="auto" w:fill="auto"/>
            <w:noWrap/>
            <w:vAlign w:val="bottom"/>
            <w:hideMark/>
          </w:tcPr>
          <w:p w14:paraId="715D2E4D" w14:textId="77777777" w:rsidR="00336996" w:rsidRPr="006119EA" w:rsidRDefault="00336996" w:rsidP="00336996">
            <w:pPr>
              <w:rPr>
                <w:rFonts w:eastAsia="Times New Roman"/>
                <w:color w:val="000000"/>
                <w:lang w:eastAsia="ko-KR"/>
              </w:rPr>
            </w:pPr>
          </w:p>
        </w:tc>
      </w:tr>
      <w:tr w:rsidR="00336996" w:rsidRPr="006119EA" w14:paraId="72B4D9A2" w14:textId="77777777" w:rsidTr="00D90156">
        <w:trPr>
          <w:trHeight w:val="315"/>
        </w:trPr>
        <w:tc>
          <w:tcPr>
            <w:tcW w:w="0" w:type="auto"/>
            <w:tcBorders>
              <w:top w:val="single" w:sz="4" w:space="0" w:color="auto"/>
              <w:left w:val="nil"/>
              <w:bottom w:val="single" w:sz="4" w:space="0" w:color="auto"/>
              <w:right w:val="nil"/>
            </w:tcBorders>
            <w:shd w:val="clear" w:color="auto" w:fill="auto"/>
            <w:noWrap/>
            <w:vAlign w:val="bottom"/>
            <w:hideMark/>
          </w:tcPr>
          <w:p w14:paraId="35346022" w14:textId="77777777" w:rsidR="00336996" w:rsidRPr="006119EA" w:rsidRDefault="00336996" w:rsidP="00336996">
            <w:pPr>
              <w:rPr>
                <w:rFonts w:eastAsia="Times New Roman"/>
                <w:color w:val="000000"/>
                <w:lang w:eastAsia="ko-KR"/>
              </w:rPr>
            </w:pPr>
          </w:p>
        </w:tc>
        <w:tc>
          <w:tcPr>
            <w:tcW w:w="0" w:type="auto"/>
            <w:gridSpan w:val="4"/>
            <w:tcBorders>
              <w:top w:val="single" w:sz="4" w:space="0" w:color="auto"/>
              <w:left w:val="nil"/>
              <w:bottom w:val="single" w:sz="4" w:space="0" w:color="auto"/>
              <w:right w:val="nil"/>
            </w:tcBorders>
            <w:shd w:val="clear" w:color="auto" w:fill="auto"/>
            <w:noWrap/>
            <w:vAlign w:val="bottom"/>
            <w:hideMark/>
          </w:tcPr>
          <w:p w14:paraId="3558BEA3" w14:textId="77777777" w:rsidR="00336996" w:rsidRPr="00D90156" w:rsidRDefault="00336996" w:rsidP="00336996">
            <w:pPr>
              <w:rPr>
                <w:rFonts w:eastAsia="Times New Roman"/>
                <w:i/>
                <w:color w:val="000000"/>
                <w:lang w:eastAsia="ko-KR"/>
              </w:rPr>
            </w:pPr>
            <w:r w:rsidRPr="00D90156">
              <w:rPr>
                <w:rFonts w:eastAsia="Times New Roman"/>
                <w:i/>
                <w:color w:val="000000"/>
                <w:lang w:eastAsia="ko-KR"/>
              </w:rPr>
              <w:t>Countries not part of a cluster</w:t>
            </w:r>
          </w:p>
        </w:tc>
        <w:tc>
          <w:tcPr>
            <w:tcW w:w="0" w:type="auto"/>
            <w:tcBorders>
              <w:top w:val="single" w:sz="4" w:space="0" w:color="auto"/>
              <w:left w:val="nil"/>
              <w:bottom w:val="single" w:sz="4" w:space="0" w:color="auto"/>
              <w:right w:val="nil"/>
            </w:tcBorders>
            <w:shd w:val="clear" w:color="auto" w:fill="auto"/>
            <w:noWrap/>
            <w:vAlign w:val="bottom"/>
            <w:hideMark/>
          </w:tcPr>
          <w:p w14:paraId="2896353A" w14:textId="77777777" w:rsidR="00336996" w:rsidRPr="006119EA" w:rsidRDefault="00336996" w:rsidP="00336996">
            <w:pPr>
              <w:rPr>
                <w:rFonts w:eastAsia="Times New Roman"/>
                <w:color w:val="000000"/>
                <w:lang w:eastAsia="ko-KR"/>
              </w:rPr>
            </w:pPr>
          </w:p>
        </w:tc>
        <w:tc>
          <w:tcPr>
            <w:tcW w:w="0" w:type="auto"/>
            <w:tcBorders>
              <w:top w:val="single" w:sz="4" w:space="0" w:color="auto"/>
              <w:left w:val="nil"/>
              <w:bottom w:val="single" w:sz="4" w:space="0" w:color="auto"/>
              <w:right w:val="nil"/>
            </w:tcBorders>
            <w:shd w:val="clear" w:color="auto" w:fill="auto"/>
            <w:noWrap/>
            <w:vAlign w:val="bottom"/>
            <w:hideMark/>
          </w:tcPr>
          <w:p w14:paraId="2584CCE3" w14:textId="77777777" w:rsidR="00336996" w:rsidRPr="006119EA" w:rsidRDefault="00336996" w:rsidP="00336996">
            <w:pPr>
              <w:rPr>
                <w:rFonts w:eastAsia="Times New Roman"/>
                <w:color w:val="000000"/>
                <w:lang w:eastAsia="ko-KR"/>
              </w:rPr>
            </w:pPr>
          </w:p>
        </w:tc>
      </w:tr>
      <w:tr w:rsidR="00336996" w:rsidRPr="006119EA" w14:paraId="67DC1909" w14:textId="77777777" w:rsidTr="00EB233A">
        <w:trPr>
          <w:trHeight w:val="315"/>
        </w:trPr>
        <w:tc>
          <w:tcPr>
            <w:tcW w:w="0" w:type="auto"/>
            <w:tcBorders>
              <w:top w:val="single" w:sz="4" w:space="0" w:color="auto"/>
              <w:left w:val="nil"/>
              <w:right w:val="nil"/>
            </w:tcBorders>
            <w:shd w:val="clear" w:color="auto" w:fill="auto"/>
            <w:noWrap/>
            <w:hideMark/>
          </w:tcPr>
          <w:p w14:paraId="1F0E0C65" w14:textId="77777777" w:rsidR="00336996" w:rsidRPr="00E11CC5" w:rsidRDefault="00336996" w:rsidP="00336996">
            <w:pPr>
              <w:rPr>
                <w:rFonts w:eastAsia="Times New Roman"/>
                <w:color w:val="000000"/>
                <w:highlight w:val="yellow"/>
                <w:lang w:eastAsia="ko-KR"/>
              </w:rPr>
            </w:pPr>
            <w:r w:rsidRPr="00593862">
              <w:rPr>
                <w:rFonts w:eastAsia="Times New Roman"/>
                <w:color w:val="000000"/>
                <w:lang w:eastAsia="ko-KR"/>
              </w:rPr>
              <w:t>Bulgaria</w:t>
            </w:r>
          </w:p>
        </w:tc>
        <w:tc>
          <w:tcPr>
            <w:tcW w:w="0" w:type="auto"/>
            <w:gridSpan w:val="2"/>
            <w:tcBorders>
              <w:top w:val="single" w:sz="4" w:space="0" w:color="auto"/>
              <w:left w:val="nil"/>
              <w:right w:val="nil"/>
            </w:tcBorders>
            <w:shd w:val="clear" w:color="auto" w:fill="auto"/>
            <w:noWrap/>
            <w:hideMark/>
          </w:tcPr>
          <w:p w14:paraId="78FE51EF" w14:textId="77777777" w:rsidR="00336996" w:rsidRDefault="00336996" w:rsidP="00336996">
            <w:pPr>
              <w:rPr>
                <w:rFonts w:eastAsia="Times New Roman"/>
                <w:color w:val="000000"/>
                <w:lang w:eastAsia="ko-KR"/>
              </w:rPr>
            </w:pPr>
            <w:r>
              <w:rPr>
                <w:rFonts w:eastAsia="Times New Roman"/>
                <w:color w:val="000000"/>
                <w:lang w:eastAsia="ko-KR"/>
              </w:rPr>
              <w:t>Honduras</w:t>
            </w:r>
          </w:p>
        </w:tc>
        <w:tc>
          <w:tcPr>
            <w:tcW w:w="0" w:type="auto"/>
            <w:gridSpan w:val="2"/>
            <w:tcBorders>
              <w:top w:val="single" w:sz="4" w:space="0" w:color="auto"/>
              <w:left w:val="nil"/>
              <w:right w:val="nil"/>
            </w:tcBorders>
            <w:shd w:val="clear" w:color="auto" w:fill="auto"/>
          </w:tcPr>
          <w:p w14:paraId="4F9A3675" w14:textId="77777777" w:rsidR="00336996" w:rsidRDefault="00336996" w:rsidP="00336996">
            <w:pPr>
              <w:rPr>
                <w:rFonts w:eastAsia="Times New Roman"/>
                <w:color w:val="000000"/>
                <w:lang w:eastAsia="ko-KR"/>
              </w:rPr>
            </w:pPr>
            <w:r>
              <w:rPr>
                <w:rFonts w:eastAsia="Times New Roman"/>
                <w:color w:val="000000"/>
                <w:lang w:eastAsia="ko-KR"/>
              </w:rPr>
              <w:t>Moldova</w:t>
            </w:r>
          </w:p>
        </w:tc>
        <w:tc>
          <w:tcPr>
            <w:tcW w:w="0" w:type="auto"/>
            <w:tcBorders>
              <w:top w:val="single" w:sz="4" w:space="0" w:color="auto"/>
              <w:left w:val="nil"/>
              <w:right w:val="nil"/>
            </w:tcBorders>
            <w:shd w:val="clear" w:color="auto" w:fill="auto"/>
            <w:noWrap/>
            <w:hideMark/>
          </w:tcPr>
          <w:p w14:paraId="6A28116D" w14:textId="77777777" w:rsidR="00336996" w:rsidRDefault="00336996" w:rsidP="00336996">
            <w:pPr>
              <w:ind w:left="-98"/>
              <w:rPr>
                <w:rFonts w:eastAsia="Times New Roman"/>
                <w:color w:val="000000"/>
                <w:lang w:eastAsia="ko-KR"/>
              </w:rPr>
            </w:pPr>
            <w:r>
              <w:rPr>
                <w:rFonts w:eastAsia="Times New Roman"/>
                <w:color w:val="000000"/>
                <w:lang w:eastAsia="ko-KR"/>
              </w:rPr>
              <w:t>Russia</w:t>
            </w:r>
          </w:p>
        </w:tc>
        <w:tc>
          <w:tcPr>
            <w:tcW w:w="0" w:type="auto"/>
            <w:tcBorders>
              <w:top w:val="single" w:sz="4" w:space="0" w:color="auto"/>
              <w:left w:val="nil"/>
              <w:right w:val="nil"/>
            </w:tcBorders>
            <w:shd w:val="clear" w:color="auto" w:fill="auto"/>
            <w:noWrap/>
            <w:hideMark/>
          </w:tcPr>
          <w:p w14:paraId="1E316428" w14:textId="77777777" w:rsidR="00336996" w:rsidRPr="006119EA" w:rsidRDefault="00336996" w:rsidP="00336996">
            <w:pPr>
              <w:rPr>
                <w:rFonts w:eastAsia="Times New Roman"/>
                <w:color w:val="000000"/>
                <w:lang w:eastAsia="ko-KR"/>
              </w:rPr>
            </w:pPr>
            <w:r>
              <w:rPr>
                <w:rFonts w:eastAsia="Times New Roman"/>
                <w:color w:val="000000"/>
                <w:lang w:eastAsia="ko-KR"/>
              </w:rPr>
              <w:t>Venezuela</w:t>
            </w:r>
          </w:p>
        </w:tc>
      </w:tr>
      <w:tr w:rsidR="00336996" w:rsidRPr="006119EA" w14:paraId="2942E22F" w14:textId="77777777" w:rsidTr="00EB233A">
        <w:trPr>
          <w:trHeight w:val="315"/>
        </w:trPr>
        <w:tc>
          <w:tcPr>
            <w:tcW w:w="0" w:type="auto"/>
            <w:tcBorders>
              <w:left w:val="nil"/>
              <w:right w:val="nil"/>
            </w:tcBorders>
            <w:shd w:val="clear" w:color="auto" w:fill="auto"/>
            <w:noWrap/>
            <w:hideMark/>
          </w:tcPr>
          <w:p w14:paraId="01B96B8E" w14:textId="77777777" w:rsidR="00336996" w:rsidRPr="006119EA" w:rsidRDefault="00336996" w:rsidP="00336996">
            <w:pPr>
              <w:rPr>
                <w:rFonts w:eastAsia="Times New Roman"/>
                <w:color w:val="000000"/>
                <w:lang w:eastAsia="ko-KR"/>
              </w:rPr>
            </w:pPr>
            <w:r>
              <w:rPr>
                <w:rFonts w:eastAsia="Times New Roman"/>
                <w:color w:val="000000"/>
                <w:lang w:eastAsia="ko-KR"/>
              </w:rPr>
              <w:t>Georgia</w:t>
            </w:r>
          </w:p>
        </w:tc>
        <w:tc>
          <w:tcPr>
            <w:tcW w:w="0" w:type="auto"/>
            <w:gridSpan w:val="3"/>
            <w:tcBorders>
              <w:left w:val="nil"/>
              <w:right w:val="nil"/>
            </w:tcBorders>
            <w:shd w:val="clear" w:color="auto" w:fill="auto"/>
            <w:noWrap/>
            <w:hideMark/>
          </w:tcPr>
          <w:p w14:paraId="415FCEAC" w14:textId="77777777" w:rsidR="00336996" w:rsidRDefault="00336996" w:rsidP="00336996">
            <w:pPr>
              <w:rPr>
                <w:rFonts w:eastAsia="Times New Roman"/>
                <w:color w:val="000000"/>
                <w:lang w:eastAsia="ko-KR"/>
              </w:rPr>
            </w:pPr>
            <w:r>
              <w:rPr>
                <w:rFonts w:eastAsia="Times New Roman"/>
                <w:color w:val="000000"/>
                <w:lang w:eastAsia="ko-KR"/>
              </w:rPr>
              <w:t>Kenya</w:t>
            </w:r>
          </w:p>
        </w:tc>
        <w:tc>
          <w:tcPr>
            <w:tcW w:w="0" w:type="auto"/>
            <w:tcBorders>
              <w:left w:val="nil"/>
              <w:right w:val="nil"/>
            </w:tcBorders>
            <w:shd w:val="clear" w:color="auto" w:fill="auto"/>
          </w:tcPr>
          <w:p w14:paraId="13887D26" w14:textId="77777777" w:rsidR="00336996" w:rsidRDefault="00336996" w:rsidP="00336996">
            <w:pPr>
              <w:rPr>
                <w:rFonts w:eastAsia="Times New Roman"/>
                <w:color w:val="000000"/>
                <w:lang w:eastAsia="ko-KR"/>
              </w:rPr>
            </w:pPr>
            <w:r>
              <w:rPr>
                <w:rFonts w:eastAsia="Times New Roman"/>
                <w:color w:val="000000"/>
                <w:lang w:eastAsia="ko-KR"/>
              </w:rPr>
              <w:t>Peru</w:t>
            </w:r>
          </w:p>
        </w:tc>
        <w:tc>
          <w:tcPr>
            <w:tcW w:w="0" w:type="auto"/>
            <w:tcBorders>
              <w:left w:val="nil"/>
              <w:right w:val="nil"/>
            </w:tcBorders>
            <w:shd w:val="clear" w:color="auto" w:fill="auto"/>
            <w:noWrap/>
            <w:hideMark/>
          </w:tcPr>
          <w:p w14:paraId="7635CB0E" w14:textId="77777777" w:rsidR="00336996" w:rsidRDefault="00336996" w:rsidP="00336996">
            <w:pPr>
              <w:ind w:left="-98"/>
              <w:rPr>
                <w:rFonts w:eastAsia="Times New Roman"/>
                <w:color w:val="000000"/>
                <w:lang w:eastAsia="ko-KR"/>
              </w:rPr>
            </w:pPr>
            <w:r>
              <w:rPr>
                <w:rFonts w:eastAsia="Times New Roman"/>
                <w:color w:val="000000"/>
                <w:lang w:eastAsia="ko-KR"/>
              </w:rPr>
              <w:t>South Africa</w:t>
            </w:r>
          </w:p>
        </w:tc>
        <w:tc>
          <w:tcPr>
            <w:tcW w:w="0" w:type="auto"/>
            <w:tcBorders>
              <w:left w:val="nil"/>
              <w:right w:val="nil"/>
            </w:tcBorders>
            <w:shd w:val="clear" w:color="auto" w:fill="auto"/>
            <w:noWrap/>
            <w:hideMark/>
          </w:tcPr>
          <w:p w14:paraId="08BBD765" w14:textId="77777777" w:rsidR="00336996" w:rsidRPr="006119EA" w:rsidRDefault="00336996" w:rsidP="00336996">
            <w:pPr>
              <w:rPr>
                <w:rFonts w:eastAsia="Times New Roman"/>
                <w:color w:val="000000"/>
                <w:lang w:eastAsia="ko-KR"/>
              </w:rPr>
            </w:pPr>
          </w:p>
        </w:tc>
      </w:tr>
      <w:tr w:rsidR="00336996" w:rsidRPr="006119EA" w14:paraId="7E70668D" w14:textId="77777777" w:rsidTr="00EB233A">
        <w:trPr>
          <w:trHeight w:val="315"/>
        </w:trPr>
        <w:tc>
          <w:tcPr>
            <w:tcW w:w="0" w:type="auto"/>
            <w:tcBorders>
              <w:left w:val="nil"/>
              <w:right w:val="nil"/>
            </w:tcBorders>
            <w:shd w:val="clear" w:color="auto" w:fill="auto"/>
            <w:noWrap/>
            <w:hideMark/>
          </w:tcPr>
          <w:p w14:paraId="05EBEA29" w14:textId="77777777" w:rsidR="00336996" w:rsidRPr="006119EA" w:rsidRDefault="00336996" w:rsidP="00336996">
            <w:pPr>
              <w:rPr>
                <w:rFonts w:eastAsia="Times New Roman"/>
                <w:color w:val="000000"/>
                <w:lang w:eastAsia="ko-KR"/>
              </w:rPr>
            </w:pPr>
            <w:r>
              <w:rPr>
                <w:rFonts w:eastAsia="Times New Roman"/>
                <w:color w:val="000000"/>
                <w:lang w:eastAsia="ko-KR"/>
              </w:rPr>
              <w:t>Guatemala</w:t>
            </w:r>
          </w:p>
        </w:tc>
        <w:tc>
          <w:tcPr>
            <w:tcW w:w="0" w:type="auto"/>
            <w:gridSpan w:val="3"/>
            <w:tcBorders>
              <w:left w:val="nil"/>
              <w:right w:val="nil"/>
            </w:tcBorders>
            <w:shd w:val="clear" w:color="auto" w:fill="auto"/>
            <w:noWrap/>
            <w:hideMark/>
          </w:tcPr>
          <w:p w14:paraId="4682EC81" w14:textId="77777777" w:rsidR="00336996" w:rsidRDefault="00336996" w:rsidP="00336996">
            <w:pPr>
              <w:rPr>
                <w:rFonts w:eastAsia="Times New Roman"/>
                <w:color w:val="000000"/>
                <w:lang w:eastAsia="ko-KR"/>
              </w:rPr>
            </w:pPr>
            <w:r>
              <w:rPr>
                <w:rFonts w:eastAsia="Times New Roman"/>
                <w:color w:val="000000"/>
                <w:lang w:eastAsia="ko-KR"/>
              </w:rPr>
              <w:t>Luxembourg</w:t>
            </w:r>
          </w:p>
        </w:tc>
        <w:tc>
          <w:tcPr>
            <w:tcW w:w="0" w:type="auto"/>
            <w:tcBorders>
              <w:left w:val="nil"/>
              <w:right w:val="nil"/>
            </w:tcBorders>
            <w:shd w:val="clear" w:color="auto" w:fill="auto"/>
          </w:tcPr>
          <w:p w14:paraId="27B7E0E3" w14:textId="77777777" w:rsidR="00336996" w:rsidRDefault="00336996" w:rsidP="00336996">
            <w:pPr>
              <w:rPr>
                <w:rFonts w:eastAsia="Times New Roman"/>
                <w:color w:val="000000"/>
                <w:lang w:eastAsia="ko-KR"/>
              </w:rPr>
            </w:pPr>
            <w:r>
              <w:rPr>
                <w:rFonts w:eastAsia="Times New Roman"/>
                <w:color w:val="000000"/>
                <w:lang w:eastAsia="ko-KR"/>
              </w:rPr>
              <w:t>Philippines</w:t>
            </w:r>
          </w:p>
        </w:tc>
        <w:tc>
          <w:tcPr>
            <w:tcW w:w="0" w:type="auto"/>
            <w:tcBorders>
              <w:left w:val="nil"/>
              <w:right w:val="nil"/>
            </w:tcBorders>
            <w:shd w:val="clear" w:color="auto" w:fill="auto"/>
            <w:noWrap/>
            <w:hideMark/>
          </w:tcPr>
          <w:p w14:paraId="543B3E01" w14:textId="77777777" w:rsidR="00336996" w:rsidRDefault="00336996" w:rsidP="00336996">
            <w:pPr>
              <w:ind w:left="-98"/>
              <w:rPr>
                <w:rFonts w:eastAsia="Times New Roman"/>
                <w:color w:val="000000"/>
                <w:lang w:eastAsia="ko-KR"/>
              </w:rPr>
            </w:pPr>
            <w:r>
              <w:rPr>
                <w:rFonts w:eastAsia="Times New Roman"/>
                <w:color w:val="000000"/>
                <w:lang w:eastAsia="ko-KR"/>
              </w:rPr>
              <w:t>Ukraine</w:t>
            </w:r>
          </w:p>
        </w:tc>
        <w:tc>
          <w:tcPr>
            <w:tcW w:w="0" w:type="auto"/>
            <w:tcBorders>
              <w:left w:val="nil"/>
              <w:right w:val="nil"/>
            </w:tcBorders>
            <w:shd w:val="clear" w:color="auto" w:fill="auto"/>
            <w:noWrap/>
            <w:hideMark/>
          </w:tcPr>
          <w:p w14:paraId="7FC68886" w14:textId="77777777" w:rsidR="00336996" w:rsidRPr="006119EA" w:rsidRDefault="00336996" w:rsidP="00336996">
            <w:pPr>
              <w:rPr>
                <w:rFonts w:eastAsia="Times New Roman"/>
                <w:color w:val="000000"/>
                <w:lang w:eastAsia="ko-KR"/>
              </w:rPr>
            </w:pPr>
          </w:p>
        </w:tc>
      </w:tr>
    </w:tbl>
    <w:p w14:paraId="391B2263" w14:textId="77777777" w:rsidR="006D150D" w:rsidRDefault="006D150D" w:rsidP="00C53C94">
      <w:pPr>
        <w:spacing w:line="480" w:lineRule="auto"/>
      </w:pPr>
    </w:p>
    <w:p w14:paraId="610310D8" w14:textId="77777777" w:rsidR="006D150D" w:rsidRDefault="006D150D"/>
    <w:p w14:paraId="4DAA295A" w14:textId="77777777" w:rsidR="006D150D" w:rsidRPr="006D150D" w:rsidRDefault="006D150D" w:rsidP="006D150D">
      <w:pPr>
        <w:pStyle w:val="FootnoteText"/>
        <w:rPr>
          <w:sz w:val="24"/>
          <w:szCs w:val="24"/>
        </w:rPr>
      </w:pPr>
      <w:r w:rsidRPr="006D150D">
        <w:rPr>
          <w:sz w:val="24"/>
          <w:szCs w:val="24"/>
        </w:rPr>
        <w:t xml:space="preserve">Appendix B. Countries </w:t>
      </w:r>
      <w:r w:rsidR="00D3074A">
        <w:rPr>
          <w:sz w:val="24"/>
          <w:szCs w:val="24"/>
        </w:rPr>
        <w:t>included in models with reduced sample</w:t>
      </w:r>
      <w:r w:rsidRPr="006D150D">
        <w:rPr>
          <w:sz w:val="24"/>
          <w:szCs w:val="24"/>
        </w:rPr>
        <w:t xml:space="preserve">  </w:t>
      </w:r>
    </w:p>
    <w:p w14:paraId="14013757" w14:textId="77777777" w:rsidR="008E4F51" w:rsidRDefault="008E4F51" w:rsidP="00C53C94">
      <w:pPr>
        <w:spacing w:line="480" w:lineRule="auto"/>
      </w:pPr>
    </w:p>
    <w:p w14:paraId="0DB4CFB0" w14:textId="77777777" w:rsidR="006D150D" w:rsidRDefault="006D150D" w:rsidP="00906F92">
      <w:pPr>
        <w:rPr>
          <w:rFonts w:eastAsia="Times New Roman"/>
          <w:color w:val="000000"/>
          <w:lang w:eastAsia="ko-KR"/>
        </w:rPr>
        <w:sectPr w:rsidR="006D150D" w:rsidSect="006765C9">
          <w:endnotePr>
            <w:numFmt w:val="decimal"/>
          </w:endnotePr>
          <w:pgSz w:w="12240" w:h="15840"/>
          <w:pgMar w:top="1440" w:right="1440" w:bottom="1440" w:left="1440" w:header="720" w:footer="720" w:gutter="0"/>
          <w:cols w:space="720"/>
          <w:docGrid w:linePitch="360"/>
        </w:sectPr>
      </w:pPr>
    </w:p>
    <w:tbl>
      <w:tblPr>
        <w:tblW w:w="1920" w:type="dxa"/>
        <w:tblInd w:w="93" w:type="dxa"/>
        <w:tblLook w:val="04A0" w:firstRow="1" w:lastRow="0" w:firstColumn="1" w:lastColumn="0" w:noHBand="0" w:noVBand="1"/>
      </w:tblPr>
      <w:tblGrid>
        <w:gridCol w:w="1176"/>
        <w:gridCol w:w="960"/>
      </w:tblGrid>
      <w:tr w:rsidR="006D150D" w:rsidRPr="008E4F51" w14:paraId="33F80C27" w14:textId="77777777" w:rsidTr="00906F92">
        <w:trPr>
          <w:trHeight w:val="300"/>
        </w:trPr>
        <w:tc>
          <w:tcPr>
            <w:tcW w:w="960" w:type="dxa"/>
            <w:tcBorders>
              <w:top w:val="nil"/>
              <w:left w:val="nil"/>
              <w:bottom w:val="nil"/>
              <w:right w:val="nil"/>
            </w:tcBorders>
            <w:shd w:val="clear" w:color="auto" w:fill="auto"/>
            <w:noWrap/>
            <w:vAlign w:val="bottom"/>
            <w:hideMark/>
          </w:tcPr>
          <w:p w14:paraId="6C904690" w14:textId="77777777" w:rsidR="006D1FB7" w:rsidRDefault="006D1FB7" w:rsidP="00906F92">
            <w:pPr>
              <w:rPr>
                <w:rFonts w:eastAsia="Times New Roman"/>
                <w:color w:val="000000"/>
                <w:lang w:eastAsia="ko-KR"/>
              </w:rPr>
            </w:pPr>
            <w:r>
              <w:rPr>
                <w:rFonts w:eastAsia="Times New Roman"/>
                <w:color w:val="000000"/>
                <w:lang w:eastAsia="ko-KR"/>
              </w:rPr>
              <w:lastRenderedPageBreak/>
              <w:t>Argentina</w:t>
            </w:r>
          </w:p>
          <w:p w14:paraId="75EFE1EB"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Australia</w:t>
            </w:r>
          </w:p>
        </w:tc>
        <w:tc>
          <w:tcPr>
            <w:tcW w:w="960" w:type="dxa"/>
            <w:tcBorders>
              <w:top w:val="nil"/>
              <w:left w:val="nil"/>
              <w:bottom w:val="nil"/>
              <w:right w:val="nil"/>
            </w:tcBorders>
            <w:shd w:val="clear" w:color="auto" w:fill="auto"/>
            <w:noWrap/>
            <w:vAlign w:val="bottom"/>
            <w:hideMark/>
          </w:tcPr>
          <w:p w14:paraId="0EBAEBE3" w14:textId="77777777" w:rsidR="006D150D" w:rsidRPr="008E4F51" w:rsidRDefault="006D150D" w:rsidP="00906F92">
            <w:pPr>
              <w:rPr>
                <w:rFonts w:eastAsia="Times New Roman"/>
                <w:color w:val="000000"/>
                <w:lang w:eastAsia="ko-KR"/>
              </w:rPr>
            </w:pPr>
          </w:p>
        </w:tc>
      </w:tr>
      <w:tr w:rsidR="006D150D" w:rsidRPr="008E4F51" w14:paraId="05A7D91D" w14:textId="77777777" w:rsidTr="00906F92">
        <w:trPr>
          <w:trHeight w:val="300"/>
        </w:trPr>
        <w:tc>
          <w:tcPr>
            <w:tcW w:w="960" w:type="dxa"/>
            <w:tcBorders>
              <w:top w:val="nil"/>
              <w:left w:val="nil"/>
              <w:bottom w:val="nil"/>
              <w:right w:val="nil"/>
            </w:tcBorders>
            <w:shd w:val="clear" w:color="auto" w:fill="auto"/>
            <w:noWrap/>
            <w:vAlign w:val="bottom"/>
            <w:hideMark/>
          </w:tcPr>
          <w:p w14:paraId="4DF6FFD8"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Austria</w:t>
            </w:r>
          </w:p>
        </w:tc>
        <w:tc>
          <w:tcPr>
            <w:tcW w:w="960" w:type="dxa"/>
            <w:tcBorders>
              <w:top w:val="nil"/>
              <w:left w:val="nil"/>
              <w:bottom w:val="nil"/>
              <w:right w:val="nil"/>
            </w:tcBorders>
            <w:shd w:val="clear" w:color="auto" w:fill="auto"/>
            <w:noWrap/>
            <w:vAlign w:val="bottom"/>
            <w:hideMark/>
          </w:tcPr>
          <w:p w14:paraId="17C1ECD8" w14:textId="77777777" w:rsidR="006D150D" w:rsidRPr="008E4F51" w:rsidRDefault="006D150D" w:rsidP="00906F92">
            <w:pPr>
              <w:rPr>
                <w:rFonts w:eastAsia="Times New Roman"/>
                <w:color w:val="000000"/>
                <w:lang w:eastAsia="ko-KR"/>
              </w:rPr>
            </w:pPr>
          </w:p>
        </w:tc>
      </w:tr>
      <w:tr w:rsidR="006D150D" w:rsidRPr="008E4F51" w14:paraId="0D39FF8B" w14:textId="77777777" w:rsidTr="00906F92">
        <w:trPr>
          <w:trHeight w:val="300"/>
        </w:trPr>
        <w:tc>
          <w:tcPr>
            <w:tcW w:w="960" w:type="dxa"/>
            <w:tcBorders>
              <w:top w:val="nil"/>
              <w:left w:val="nil"/>
              <w:bottom w:val="nil"/>
              <w:right w:val="nil"/>
            </w:tcBorders>
            <w:shd w:val="clear" w:color="auto" w:fill="auto"/>
            <w:noWrap/>
            <w:vAlign w:val="bottom"/>
            <w:hideMark/>
          </w:tcPr>
          <w:p w14:paraId="1340DB52"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Belgium</w:t>
            </w:r>
          </w:p>
        </w:tc>
        <w:tc>
          <w:tcPr>
            <w:tcW w:w="960" w:type="dxa"/>
            <w:tcBorders>
              <w:top w:val="nil"/>
              <w:left w:val="nil"/>
              <w:bottom w:val="nil"/>
              <w:right w:val="nil"/>
            </w:tcBorders>
            <w:shd w:val="clear" w:color="auto" w:fill="auto"/>
            <w:noWrap/>
            <w:vAlign w:val="bottom"/>
            <w:hideMark/>
          </w:tcPr>
          <w:p w14:paraId="3A2A8B97" w14:textId="77777777" w:rsidR="006D150D" w:rsidRPr="008E4F51" w:rsidRDefault="006D150D" w:rsidP="00906F92">
            <w:pPr>
              <w:rPr>
                <w:rFonts w:eastAsia="Times New Roman"/>
                <w:color w:val="000000"/>
                <w:lang w:eastAsia="ko-KR"/>
              </w:rPr>
            </w:pPr>
          </w:p>
        </w:tc>
      </w:tr>
      <w:tr w:rsidR="006D150D" w:rsidRPr="008E4F51" w14:paraId="0A589BE5" w14:textId="77777777" w:rsidTr="00906F92">
        <w:trPr>
          <w:trHeight w:val="300"/>
        </w:trPr>
        <w:tc>
          <w:tcPr>
            <w:tcW w:w="960" w:type="dxa"/>
            <w:tcBorders>
              <w:top w:val="nil"/>
              <w:left w:val="nil"/>
              <w:bottom w:val="nil"/>
              <w:right w:val="nil"/>
            </w:tcBorders>
            <w:shd w:val="clear" w:color="auto" w:fill="auto"/>
            <w:noWrap/>
            <w:vAlign w:val="bottom"/>
            <w:hideMark/>
          </w:tcPr>
          <w:p w14:paraId="050D2941"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Brazil</w:t>
            </w:r>
          </w:p>
        </w:tc>
        <w:tc>
          <w:tcPr>
            <w:tcW w:w="960" w:type="dxa"/>
            <w:tcBorders>
              <w:top w:val="nil"/>
              <w:left w:val="nil"/>
              <w:bottom w:val="nil"/>
              <w:right w:val="nil"/>
            </w:tcBorders>
            <w:shd w:val="clear" w:color="auto" w:fill="auto"/>
            <w:noWrap/>
            <w:vAlign w:val="bottom"/>
            <w:hideMark/>
          </w:tcPr>
          <w:p w14:paraId="64F4471A" w14:textId="77777777" w:rsidR="006D150D" w:rsidRPr="008E4F51" w:rsidRDefault="006D150D" w:rsidP="00906F92">
            <w:pPr>
              <w:rPr>
                <w:rFonts w:eastAsia="Times New Roman"/>
                <w:color w:val="000000"/>
                <w:lang w:eastAsia="ko-KR"/>
              </w:rPr>
            </w:pPr>
          </w:p>
        </w:tc>
      </w:tr>
      <w:tr w:rsidR="006D150D" w:rsidRPr="008E4F51" w14:paraId="232996AE" w14:textId="77777777" w:rsidTr="00906F92">
        <w:trPr>
          <w:trHeight w:val="300"/>
        </w:trPr>
        <w:tc>
          <w:tcPr>
            <w:tcW w:w="960" w:type="dxa"/>
            <w:tcBorders>
              <w:top w:val="nil"/>
              <w:left w:val="nil"/>
              <w:bottom w:val="nil"/>
              <w:right w:val="nil"/>
            </w:tcBorders>
            <w:shd w:val="clear" w:color="auto" w:fill="auto"/>
            <w:noWrap/>
            <w:vAlign w:val="bottom"/>
            <w:hideMark/>
          </w:tcPr>
          <w:p w14:paraId="046165CE"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Bulgaria</w:t>
            </w:r>
          </w:p>
        </w:tc>
        <w:tc>
          <w:tcPr>
            <w:tcW w:w="960" w:type="dxa"/>
            <w:tcBorders>
              <w:top w:val="nil"/>
              <w:left w:val="nil"/>
              <w:bottom w:val="nil"/>
              <w:right w:val="nil"/>
            </w:tcBorders>
            <w:shd w:val="clear" w:color="auto" w:fill="auto"/>
            <w:noWrap/>
            <w:vAlign w:val="bottom"/>
            <w:hideMark/>
          </w:tcPr>
          <w:p w14:paraId="278B397F" w14:textId="77777777" w:rsidR="006D150D" w:rsidRPr="008E4F51" w:rsidRDefault="006D150D" w:rsidP="00906F92">
            <w:pPr>
              <w:rPr>
                <w:rFonts w:eastAsia="Times New Roman"/>
                <w:color w:val="000000"/>
                <w:lang w:eastAsia="ko-KR"/>
              </w:rPr>
            </w:pPr>
          </w:p>
        </w:tc>
      </w:tr>
      <w:tr w:rsidR="006D150D" w:rsidRPr="008E4F51" w14:paraId="1ECD3DAD" w14:textId="77777777" w:rsidTr="00906F92">
        <w:trPr>
          <w:trHeight w:val="300"/>
        </w:trPr>
        <w:tc>
          <w:tcPr>
            <w:tcW w:w="960" w:type="dxa"/>
            <w:tcBorders>
              <w:top w:val="nil"/>
              <w:left w:val="nil"/>
              <w:bottom w:val="nil"/>
              <w:right w:val="nil"/>
            </w:tcBorders>
            <w:shd w:val="clear" w:color="auto" w:fill="auto"/>
            <w:noWrap/>
            <w:vAlign w:val="bottom"/>
            <w:hideMark/>
          </w:tcPr>
          <w:p w14:paraId="0D864703"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Canada</w:t>
            </w:r>
          </w:p>
        </w:tc>
        <w:tc>
          <w:tcPr>
            <w:tcW w:w="960" w:type="dxa"/>
            <w:tcBorders>
              <w:top w:val="nil"/>
              <w:left w:val="nil"/>
              <w:bottom w:val="nil"/>
              <w:right w:val="nil"/>
            </w:tcBorders>
            <w:shd w:val="clear" w:color="auto" w:fill="auto"/>
            <w:noWrap/>
            <w:vAlign w:val="bottom"/>
            <w:hideMark/>
          </w:tcPr>
          <w:p w14:paraId="735F0199" w14:textId="77777777" w:rsidR="006D150D" w:rsidRPr="008E4F51" w:rsidRDefault="006D150D" w:rsidP="00906F92">
            <w:pPr>
              <w:rPr>
                <w:rFonts w:eastAsia="Times New Roman"/>
                <w:color w:val="000000"/>
                <w:lang w:eastAsia="ko-KR"/>
              </w:rPr>
            </w:pPr>
          </w:p>
        </w:tc>
      </w:tr>
      <w:tr w:rsidR="006D150D" w:rsidRPr="008E4F51" w14:paraId="211CE60B" w14:textId="77777777" w:rsidTr="00906F92">
        <w:trPr>
          <w:trHeight w:val="300"/>
        </w:trPr>
        <w:tc>
          <w:tcPr>
            <w:tcW w:w="960" w:type="dxa"/>
            <w:tcBorders>
              <w:top w:val="nil"/>
              <w:left w:val="nil"/>
              <w:bottom w:val="nil"/>
              <w:right w:val="nil"/>
            </w:tcBorders>
            <w:shd w:val="clear" w:color="auto" w:fill="auto"/>
            <w:noWrap/>
            <w:vAlign w:val="bottom"/>
            <w:hideMark/>
          </w:tcPr>
          <w:p w14:paraId="42C3C953"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Chile</w:t>
            </w:r>
          </w:p>
        </w:tc>
        <w:tc>
          <w:tcPr>
            <w:tcW w:w="960" w:type="dxa"/>
            <w:tcBorders>
              <w:top w:val="nil"/>
              <w:left w:val="nil"/>
              <w:bottom w:val="nil"/>
              <w:right w:val="nil"/>
            </w:tcBorders>
            <w:shd w:val="clear" w:color="auto" w:fill="auto"/>
            <w:noWrap/>
            <w:vAlign w:val="bottom"/>
            <w:hideMark/>
          </w:tcPr>
          <w:p w14:paraId="6C0F46D2" w14:textId="77777777" w:rsidR="006D150D" w:rsidRPr="008E4F51" w:rsidRDefault="006D150D" w:rsidP="00906F92">
            <w:pPr>
              <w:rPr>
                <w:rFonts w:eastAsia="Times New Roman"/>
                <w:color w:val="000000"/>
                <w:lang w:eastAsia="ko-KR"/>
              </w:rPr>
            </w:pPr>
          </w:p>
        </w:tc>
      </w:tr>
      <w:tr w:rsidR="006D150D" w:rsidRPr="008E4F51" w14:paraId="040EF056" w14:textId="77777777" w:rsidTr="00906F92">
        <w:trPr>
          <w:trHeight w:val="300"/>
        </w:trPr>
        <w:tc>
          <w:tcPr>
            <w:tcW w:w="1920" w:type="dxa"/>
            <w:gridSpan w:val="2"/>
            <w:tcBorders>
              <w:top w:val="nil"/>
              <w:left w:val="nil"/>
              <w:bottom w:val="nil"/>
              <w:right w:val="nil"/>
            </w:tcBorders>
            <w:shd w:val="clear" w:color="auto" w:fill="auto"/>
            <w:noWrap/>
            <w:vAlign w:val="bottom"/>
            <w:hideMark/>
          </w:tcPr>
          <w:p w14:paraId="6CB2024B"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Czech Republic</w:t>
            </w:r>
          </w:p>
        </w:tc>
      </w:tr>
      <w:tr w:rsidR="006D150D" w:rsidRPr="008E4F51" w14:paraId="3A412596" w14:textId="77777777" w:rsidTr="00906F92">
        <w:trPr>
          <w:trHeight w:val="300"/>
        </w:trPr>
        <w:tc>
          <w:tcPr>
            <w:tcW w:w="960" w:type="dxa"/>
            <w:tcBorders>
              <w:top w:val="nil"/>
              <w:left w:val="nil"/>
              <w:bottom w:val="nil"/>
              <w:right w:val="nil"/>
            </w:tcBorders>
            <w:shd w:val="clear" w:color="auto" w:fill="auto"/>
            <w:noWrap/>
            <w:vAlign w:val="bottom"/>
            <w:hideMark/>
          </w:tcPr>
          <w:p w14:paraId="4C26B4BC"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Denmark</w:t>
            </w:r>
          </w:p>
        </w:tc>
        <w:tc>
          <w:tcPr>
            <w:tcW w:w="960" w:type="dxa"/>
            <w:tcBorders>
              <w:top w:val="nil"/>
              <w:left w:val="nil"/>
              <w:bottom w:val="nil"/>
              <w:right w:val="nil"/>
            </w:tcBorders>
            <w:shd w:val="clear" w:color="auto" w:fill="auto"/>
            <w:noWrap/>
            <w:vAlign w:val="bottom"/>
            <w:hideMark/>
          </w:tcPr>
          <w:p w14:paraId="03F0718F" w14:textId="77777777" w:rsidR="006D150D" w:rsidRPr="008E4F51" w:rsidRDefault="006D150D" w:rsidP="00906F92">
            <w:pPr>
              <w:rPr>
                <w:rFonts w:eastAsia="Times New Roman"/>
                <w:color w:val="000000"/>
                <w:lang w:eastAsia="ko-KR"/>
              </w:rPr>
            </w:pPr>
          </w:p>
        </w:tc>
      </w:tr>
      <w:tr w:rsidR="006D150D" w:rsidRPr="008E4F51" w14:paraId="406253E1" w14:textId="77777777" w:rsidTr="00906F92">
        <w:trPr>
          <w:trHeight w:val="300"/>
        </w:trPr>
        <w:tc>
          <w:tcPr>
            <w:tcW w:w="960" w:type="dxa"/>
            <w:tcBorders>
              <w:top w:val="nil"/>
              <w:left w:val="nil"/>
              <w:bottom w:val="nil"/>
              <w:right w:val="nil"/>
            </w:tcBorders>
            <w:shd w:val="clear" w:color="auto" w:fill="auto"/>
            <w:noWrap/>
            <w:vAlign w:val="bottom"/>
            <w:hideMark/>
          </w:tcPr>
          <w:p w14:paraId="704BAC87"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Estonia</w:t>
            </w:r>
          </w:p>
        </w:tc>
        <w:tc>
          <w:tcPr>
            <w:tcW w:w="960" w:type="dxa"/>
            <w:tcBorders>
              <w:top w:val="nil"/>
              <w:left w:val="nil"/>
              <w:bottom w:val="nil"/>
              <w:right w:val="nil"/>
            </w:tcBorders>
            <w:shd w:val="clear" w:color="auto" w:fill="auto"/>
            <w:noWrap/>
            <w:vAlign w:val="bottom"/>
            <w:hideMark/>
          </w:tcPr>
          <w:p w14:paraId="2226AA5C" w14:textId="77777777" w:rsidR="006D150D" w:rsidRPr="008E4F51" w:rsidRDefault="006D150D" w:rsidP="00906F92">
            <w:pPr>
              <w:rPr>
                <w:rFonts w:eastAsia="Times New Roman"/>
                <w:color w:val="000000"/>
                <w:lang w:eastAsia="ko-KR"/>
              </w:rPr>
            </w:pPr>
          </w:p>
        </w:tc>
      </w:tr>
      <w:tr w:rsidR="006D150D" w:rsidRPr="008E4F51" w14:paraId="1445DEDF" w14:textId="77777777" w:rsidTr="00906F92">
        <w:trPr>
          <w:trHeight w:val="300"/>
        </w:trPr>
        <w:tc>
          <w:tcPr>
            <w:tcW w:w="960" w:type="dxa"/>
            <w:tcBorders>
              <w:top w:val="nil"/>
              <w:left w:val="nil"/>
              <w:bottom w:val="nil"/>
              <w:right w:val="nil"/>
            </w:tcBorders>
            <w:shd w:val="clear" w:color="auto" w:fill="auto"/>
            <w:noWrap/>
            <w:vAlign w:val="bottom"/>
            <w:hideMark/>
          </w:tcPr>
          <w:p w14:paraId="1738AB05"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Finland</w:t>
            </w:r>
          </w:p>
        </w:tc>
        <w:tc>
          <w:tcPr>
            <w:tcW w:w="960" w:type="dxa"/>
            <w:tcBorders>
              <w:top w:val="nil"/>
              <w:left w:val="nil"/>
              <w:bottom w:val="nil"/>
              <w:right w:val="nil"/>
            </w:tcBorders>
            <w:shd w:val="clear" w:color="auto" w:fill="auto"/>
            <w:noWrap/>
            <w:vAlign w:val="bottom"/>
            <w:hideMark/>
          </w:tcPr>
          <w:p w14:paraId="74058ED8" w14:textId="77777777" w:rsidR="006D150D" w:rsidRPr="008E4F51" w:rsidRDefault="006D150D" w:rsidP="00906F92">
            <w:pPr>
              <w:rPr>
                <w:rFonts w:eastAsia="Times New Roman"/>
                <w:color w:val="000000"/>
                <w:lang w:eastAsia="ko-KR"/>
              </w:rPr>
            </w:pPr>
          </w:p>
        </w:tc>
      </w:tr>
      <w:tr w:rsidR="006D150D" w:rsidRPr="008E4F51" w14:paraId="5CB637F4" w14:textId="77777777" w:rsidTr="00906F92">
        <w:trPr>
          <w:trHeight w:val="300"/>
        </w:trPr>
        <w:tc>
          <w:tcPr>
            <w:tcW w:w="960" w:type="dxa"/>
            <w:tcBorders>
              <w:top w:val="nil"/>
              <w:left w:val="nil"/>
              <w:bottom w:val="nil"/>
              <w:right w:val="nil"/>
            </w:tcBorders>
            <w:shd w:val="clear" w:color="auto" w:fill="auto"/>
            <w:noWrap/>
            <w:vAlign w:val="bottom"/>
            <w:hideMark/>
          </w:tcPr>
          <w:p w14:paraId="5783C1CA"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France</w:t>
            </w:r>
          </w:p>
        </w:tc>
        <w:tc>
          <w:tcPr>
            <w:tcW w:w="960" w:type="dxa"/>
            <w:tcBorders>
              <w:top w:val="nil"/>
              <w:left w:val="nil"/>
              <w:bottom w:val="nil"/>
              <w:right w:val="nil"/>
            </w:tcBorders>
            <w:shd w:val="clear" w:color="auto" w:fill="auto"/>
            <w:noWrap/>
            <w:vAlign w:val="bottom"/>
            <w:hideMark/>
          </w:tcPr>
          <w:p w14:paraId="74AE45BC" w14:textId="77777777" w:rsidR="006D150D" w:rsidRPr="008E4F51" w:rsidRDefault="006D150D" w:rsidP="00906F92">
            <w:pPr>
              <w:rPr>
                <w:rFonts w:eastAsia="Times New Roman"/>
                <w:color w:val="000000"/>
                <w:lang w:eastAsia="ko-KR"/>
              </w:rPr>
            </w:pPr>
          </w:p>
        </w:tc>
      </w:tr>
      <w:tr w:rsidR="006D150D" w:rsidRPr="008E4F51" w14:paraId="307FA9FD" w14:textId="77777777" w:rsidTr="00906F92">
        <w:trPr>
          <w:trHeight w:val="300"/>
        </w:trPr>
        <w:tc>
          <w:tcPr>
            <w:tcW w:w="960" w:type="dxa"/>
            <w:tcBorders>
              <w:top w:val="nil"/>
              <w:left w:val="nil"/>
              <w:bottom w:val="nil"/>
              <w:right w:val="nil"/>
            </w:tcBorders>
            <w:shd w:val="clear" w:color="auto" w:fill="auto"/>
            <w:noWrap/>
            <w:vAlign w:val="bottom"/>
            <w:hideMark/>
          </w:tcPr>
          <w:p w14:paraId="558D72D1"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Germany</w:t>
            </w:r>
          </w:p>
        </w:tc>
        <w:tc>
          <w:tcPr>
            <w:tcW w:w="960" w:type="dxa"/>
            <w:tcBorders>
              <w:top w:val="nil"/>
              <w:left w:val="nil"/>
              <w:bottom w:val="nil"/>
              <w:right w:val="nil"/>
            </w:tcBorders>
            <w:shd w:val="clear" w:color="auto" w:fill="auto"/>
            <w:noWrap/>
            <w:vAlign w:val="bottom"/>
            <w:hideMark/>
          </w:tcPr>
          <w:p w14:paraId="2E7A9A56" w14:textId="77777777" w:rsidR="006D150D" w:rsidRPr="008E4F51" w:rsidRDefault="006D150D" w:rsidP="00906F92">
            <w:pPr>
              <w:rPr>
                <w:rFonts w:eastAsia="Times New Roman"/>
                <w:color w:val="000000"/>
                <w:lang w:eastAsia="ko-KR"/>
              </w:rPr>
            </w:pPr>
          </w:p>
        </w:tc>
      </w:tr>
      <w:tr w:rsidR="006D150D" w:rsidRPr="008E4F51" w14:paraId="737DC138" w14:textId="77777777" w:rsidTr="00906F92">
        <w:trPr>
          <w:trHeight w:val="300"/>
        </w:trPr>
        <w:tc>
          <w:tcPr>
            <w:tcW w:w="960" w:type="dxa"/>
            <w:tcBorders>
              <w:top w:val="nil"/>
              <w:left w:val="nil"/>
              <w:bottom w:val="nil"/>
              <w:right w:val="nil"/>
            </w:tcBorders>
            <w:shd w:val="clear" w:color="auto" w:fill="auto"/>
            <w:noWrap/>
            <w:vAlign w:val="bottom"/>
            <w:hideMark/>
          </w:tcPr>
          <w:p w14:paraId="2CA91319"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Greece</w:t>
            </w:r>
          </w:p>
        </w:tc>
        <w:tc>
          <w:tcPr>
            <w:tcW w:w="960" w:type="dxa"/>
            <w:tcBorders>
              <w:top w:val="nil"/>
              <w:left w:val="nil"/>
              <w:bottom w:val="nil"/>
              <w:right w:val="nil"/>
            </w:tcBorders>
            <w:shd w:val="clear" w:color="auto" w:fill="auto"/>
            <w:noWrap/>
            <w:vAlign w:val="bottom"/>
            <w:hideMark/>
          </w:tcPr>
          <w:p w14:paraId="6D4E64CB" w14:textId="77777777" w:rsidR="006D150D" w:rsidRPr="008E4F51" w:rsidRDefault="006D150D" w:rsidP="00906F92">
            <w:pPr>
              <w:rPr>
                <w:rFonts w:eastAsia="Times New Roman"/>
                <w:color w:val="000000"/>
                <w:lang w:eastAsia="ko-KR"/>
              </w:rPr>
            </w:pPr>
          </w:p>
        </w:tc>
      </w:tr>
      <w:tr w:rsidR="006D150D" w:rsidRPr="008E4F51" w14:paraId="26F506AA" w14:textId="77777777" w:rsidTr="00906F92">
        <w:trPr>
          <w:trHeight w:val="300"/>
        </w:trPr>
        <w:tc>
          <w:tcPr>
            <w:tcW w:w="960" w:type="dxa"/>
            <w:tcBorders>
              <w:top w:val="nil"/>
              <w:left w:val="nil"/>
              <w:bottom w:val="nil"/>
              <w:right w:val="nil"/>
            </w:tcBorders>
            <w:shd w:val="clear" w:color="auto" w:fill="auto"/>
            <w:noWrap/>
            <w:vAlign w:val="bottom"/>
            <w:hideMark/>
          </w:tcPr>
          <w:p w14:paraId="3A6A7CC0"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Hungary</w:t>
            </w:r>
          </w:p>
        </w:tc>
        <w:tc>
          <w:tcPr>
            <w:tcW w:w="960" w:type="dxa"/>
            <w:tcBorders>
              <w:top w:val="nil"/>
              <w:left w:val="nil"/>
              <w:bottom w:val="nil"/>
              <w:right w:val="nil"/>
            </w:tcBorders>
            <w:shd w:val="clear" w:color="auto" w:fill="auto"/>
            <w:noWrap/>
            <w:vAlign w:val="bottom"/>
            <w:hideMark/>
          </w:tcPr>
          <w:p w14:paraId="2240B1E3" w14:textId="77777777" w:rsidR="006D150D" w:rsidRPr="008E4F51" w:rsidRDefault="006D150D" w:rsidP="00906F92">
            <w:pPr>
              <w:rPr>
                <w:rFonts w:eastAsia="Times New Roman"/>
                <w:color w:val="000000"/>
                <w:lang w:eastAsia="ko-KR"/>
              </w:rPr>
            </w:pPr>
          </w:p>
        </w:tc>
      </w:tr>
      <w:tr w:rsidR="006D150D" w:rsidRPr="008E4F51" w14:paraId="1DFDDE96" w14:textId="77777777" w:rsidTr="00906F92">
        <w:trPr>
          <w:trHeight w:val="300"/>
        </w:trPr>
        <w:tc>
          <w:tcPr>
            <w:tcW w:w="1920" w:type="dxa"/>
            <w:gridSpan w:val="2"/>
            <w:tcBorders>
              <w:top w:val="nil"/>
              <w:left w:val="nil"/>
              <w:bottom w:val="nil"/>
              <w:right w:val="nil"/>
            </w:tcBorders>
            <w:shd w:val="clear" w:color="auto" w:fill="auto"/>
            <w:noWrap/>
            <w:vAlign w:val="bottom"/>
            <w:hideMark/>
          </w:tcPr>
          <w:p w14:paraId="210D8040" w14:textId="77777777" w:rsidR="006D150D" w:rsidRPr="008E4F51" w:rsidRDefault="006D1FB7" w:rsidP="00906F92">
            <w:pPr>
              <w:rPr>
                <w:rFonts w:eastAsia="Times New Roman"/>
                <w:color w:val="000000"/>
                <w:lang w:eastAsia="ko-KR"/>
              </w:rPr>
            </w:pPr>
            <w:r>
              <w:rPr>
                <w:rFonts w:eastAsia="Times New Roman"/>
                <w:color w:val="000000"/>
                <w:lang w:eastAsia="ko-KR"/>
              </w:rPr>
              <w:t>India</w:t>
            </w:r>
          </w:p>
        </w:tc>
      </w:tr>
      <w:tr w:rsidR="006D150D" w:rsidRPr="008E4F51" w14:paraId="6BD086F7" w14:textId="77777777" w:rsidTr="00906F92">
        <w:trPr>
          <w:trHeight w:val="300"/>
        </w:trPr>
        <w:tc>
          <w:tcPr>
            <w:tcW w:w="960" w:type="dxa"/>
            <w:tcBorders>
              <w:top w:val="nil"/>
              <w:left w:val="nil"/>
              <w:bottom w:val="nil"/>
              <w:right w:val="nil"/>
            </w:tcBorders>
            <w:shd w:val="clear" w:color="auto" w:fill="auto"/>
            <w:noWrap/>
            <w:vAlign w:val="bottom"/>
            <w:hideMark/>
          </w:tcPr>
          <w:p w14:paraId="2F50D0F9"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Ireland</w:t>
            </w:r>
          </w:p>
        </w:tc>
        <w:tc>
          <w:tcPr>
            <w:tcW w:w="960" w:type="dxa"/>
            <w:tcBorders>
              <w:top w:val="nil"/>
              <w:left w:val="nil"/>
              <w:bottom w:val="nil"/>
              <w:right w:val="nil"/>
            </w:tcBorders>
            <w:shd w:val="clear" w:color="auto" w:fill="auto"/>
            <w:noWrap/>
            <w:vAlign w:val="bottom"/>
            <w:hideMark/>
          </w:tcPr>
          <w:p w14:paraId="4A6DA7F0" w14:textId="77777777" w:rsidR="006D150D" w:rsidRPr="008E4F51" w:rsidRDefault="006D150D" w:rsidP="00906F92">
            <w:pPr>
              <w:rPr>
                <w:rFonts w:eastAsia="Times New Roman"/>
                <w:color w:val="000000"/>
                <w:lang w:eastAsia="ko-KR"/>
              </w:rPr>
            </w:pPr>
          </w:p>
        </w:tc>
      </w:tr>
      <w:tr w:rsidR="006D150D" w:rsidRPr="008E4F51" w14:paraId="416FDD57" w14:textId="77777777" w:rsidTr="00906F92">
        <w:trPr>
          <w:trHeight w:val="300"/>
        </w:trPr>
        <w:tc>
          <w:tcPr>
            <w:tcW w:w="960" w:type="dxa"/>
            <w:tcBorders>
              <w:top w:val="nil"/>
              <w:left w:val="nil"/>
              <w:bottom w:val="nil"/>
              <w:right w:val="nil"/>
            </w:tcBorders>
            <w:shd w:val="clear" w:color="auto" w:fill="auto"/>
            <w:noWrap/>
            <w:vAlign w:val="bottom"/>
            <w:hideMark/>
          </w:tcPr>
          <w:p w14:paraId="39D69755"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Israel</w:t>
            </w:r>
          </w:p>
        </w:tc>
        <w:tc>
          <w:tcPr>
            <w:tcW w:w="960" w:type="dxa"/>
            <w:tcBorders>
              <w:top w:val="nil"/>
              <w:left w:val="nil"/>
              <w:bottom w:val="nil"/>
              <w:right w:val="nil"/>
            </w:tcBorders>
            <w:shd w:val="clear" w:color="auto" w:fill="auto"/>
            <w:noWrap/>
            <w:vAlign w:val="bottom"/>
            <w:hideMark/>
          </w:tcPr>
          <w:p w14:paraId="78787D67" w14:textId="77777777" w:rsidR="006D150D" w:rsidRPr="008E4F51" w:rsidRDefault="006D150D" w:rsidP="00906F92">
            <w:pPr>
              <w:rPr>
                <w:rFonts w:eastAsia="Times New Roman"/>
                <w:color w:val="000000"/>
                <w:lang w:eastAsia="ko-KR"/>
              </w:rPr>
            </w:pPr>
          </w:p>
        </w:tc>
      </w:tr>
      <w:tr w:rsidR="006D150D" w:rsidRPr="008E4F51" w14:paraId="29FA3F6A" w14:textId="77777777" w:rsidTr="00906F92">
        <w:trPr>
          <w:trHeight w:val="300"/>
        </w:trPr>
        <w:tc>
          <w:tcPr>
            <w:tcW w:w="960" w:type="dxa"/>
            <w:tcBorders>
              <w:top w:val="nil"/>
              <w:left w:val="nil"/>
              <w:bottom w:val="nil"/>
              <w:right w:val="nil"/>
            </w:tcBorders>
            <w:shd w:val="clear" w:color="auto" w:fill="auto"/>
            <w:noWrap/>
            <w:vAlign w:val="bottom"/>
            <w:hideMark/>
          </w:tcPr>
          <w:p w14:paraId="7B8B356F"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Italy</w:t>
            </w:r>
          </w:p>
        </w:tc>
        <w:tc>
          <w:tcPr>
            <w:tcW w:w="960" w:type="dxa"/>
            <w:tcBorders>
              <w:top w:val="nil"/>
              <w:left w:val="nil"/>
              <w:bottom w:val="nil"/>
              <w:right w:val="nil"/>
            </w:tcBorders>
            <w:shd w:val="clear" w:color="auto" w:fill="auto"/>
            <w:noWrap/>
            <w:vAlign w:val="bottom"/>
            <w:hideMark/>
          </w:tcPr>
          <w:p w14:paraId="268DD392" w14:textId="77777777" w:rsidR="006D150D" w:rsidRPr="008E4F51" w:rsidRDefault="006D150D" w:rsidP="00906F92">
            <w:pPr>
              <w:rPr>
                <w:rFonts w:eastAsia="Times New Roman"/>
                <w:color w:val="000000"/>
                <w:lang w:eastAsia="ko-KR"/>
              </w:rPr>
            </w:pPr>
          </w:p>
        </w:tc>
      </w:tr>
      <w:tr w:rsidR="006D150D" w:rsidRPr="008E4F51" w14:paraId="0FDBCFBA" w14:textId="77777777" w:rsidTr="00906F92">
        <w:trPr>
          <w:trHeight w:val="300"/>
        </w:trPr>
        <w:tc>
          <w:tcPr>
            <w:tcW w:w="960" w:type="dxa"/>
            <w:tcBorders>
              <w:top w:val="nil"/>
              <w:left w:val="nil"/>
              <w:bottom w:val="nil"/>
              <w:right w:val="nil"/>
            </w:tcBorders>
            <w:shd w:val="clear" w:color="auto" w:fill="auto"/>
            <w:noWrap/>
            <w:vAlign w:val="bottom"/>
            <w:hideMark/>
          </w:tcPr>
          <w:p w14:paraId="005F81E7"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Japan</w:t>
            </w:r>
          </w:p>
        </w:tc>
        <w:tc>
          <w:tcPr>
            <w:tcW w:w="960" w:type="dxa"/>
            <w:tcBorders>
              <w:top w:val="nil"/>
              <w:left w:val="nil"/>
              <w:bottom w:val="nil"/>
              <w:right w:val="nil"/>
            </w:tcBorders>
            <w:shd w:val="clear" w:color="auto" w:fill="auto"/>
            <w:noWrap/>
            <w:vAlign w:val="bottom"/>
            <w:hideMark/>
          </w:tcPr>
          <w:p w14:paraId="6B073DD4" w14:textId="77777777" w:rsidR="006D150D" w:rsidRPr="008E4F51" w:rsidRDefault="006D150D" w:rsidP="00906F92">
            <w:pPr>
              <w:rPr>
                <w:rFonts w:eastAsia="Times New Roman"/>
                <w:color w:val="000000"/>
                <w:lang w:eastAsia="ko-KR"/>
              </w:rPr>
            </w:pPr>
          </w:p>
        </w:tc>
      </w:tr>
      <w:tr w:rsidR="006D150D" w:rsidRPr="008E4F51" w14:paraId="2C5F7C83" w14:textId="77777777" w:rsidTr="00906F92">
        <w:trPr>
          <w:trHeight w:val="300"/>
        </w:trPr>
        <w:tc>
          <w:tcPr>
            <w:tcW w:w="1920" w:type="dxa"/>
            <w:gridSpan w:val="2"/>
            <w:tcBorders>
              <w:top w:val="nil"/>
              <w:left w:val="nil"/>
              <w:bottom w:val="nil"/>
              <w:right w:val="nil"/>
            </w:tcBorders>
            <w:shd w:val="clear" w:color="auto" w:fill="auto"/>
            <w:noWrap/>
            <w:vAlign w:val="bottom"/>
            <w:hideMark/>
          </w:tcPr>
          <w:p w14:paraId="7EBCCF09"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 xml:space="preserve">Korea </w:t>
            </w:r>
            <w:r w:rsidR="006D1FB7">
              <w:rPr>
                <w:rFonts w:eastAsia="Times New Roman"/>
                <w:color w:val="000000"/>
                <w:lang w:eastAsia="ko-KR"/>
              </w:rPr>
              <w:t>(</w:t>
            </w:r>
            <w:r w:rsidRPr="008E4F51">
              <w:rPr>
                <w:rFonts w:eastAsia="Times New Roman"/>
                <w:color w:val="000000"/>
                <w:lang w:eastAsia="ko-KR"/>
              </w:rPr>
              <w:t>South</w:t>
            </w:r>
            <w:r w:rsidR="006D1FB7">
              <w:rPr>
                <w:rFonts w:eastAsia="Times New Roman"/>
                <w:color w:val="000000"/>
                <w:lang w:eastAsia="ko-KR"/>
              </w:rPr>
              <w:t>)</w:t>
            </w:r>
          </w:p>
        </w:tc>
      </w:tr>
      <w:tr w:rsidR="006D150D" w:rsidRPr="008E4F51" w14:paraId="6B929A8E" w14:textId="77777777" w:rsidTr="00906F92">
        <w:trPr>
          <w:trHeight w:val="300"/>
        </w:trPr>
        <w:tc>
          <w:tcPr>
            <w:tcW w:w="960" w:type="dxa"/>
            <w:tcBorders>
              <w:top w:val="nil"/>
              <w:left w:val="nil"/>
              <w:bottom w:val="nil"/>
              <w:right w:val="nil"/>
            </w:tcBorders>
            <w:shd w:val="clear" w:color="auto" w:fill="auto"/>
            <w:noWrap/>
            <w:vAlign w:val="bottom"/>
            <w:hideMark/>
          </w:tcPr>
          <w:p w14:paraId="66388B53"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Latvia</w:t>
            </w:r>
          </w:p>
        </w:tc>
        <w:tc>
          <w:tcPr>
            <w:tcW w:w="960" w:type="dxa"/>
            <w:tcBorders>
              <w:top w:val="nil"/>
              <w:left w:val="nil"/>
              <w:bottom w:val="nil"/>
              <w:right w:val="nil"/>
            </w:tcBorders>
            <w:shd w:val="clear" w:color="auto" w:fill="auto"/>
            <w:noWrap/>
            <w:vAlign w:val="bottom"/>
            <w:hideMark/>
          </w:tcPr>
          <w:p w14:paraId="2245D1E9" w14:textId="77777777" w:rsidR="006D150D" w:rsidRPr="008E4F51" w:rsidRDefault="006D150D" w:rsidP="00906F92">
            <w:pPr>
              <w:rPr>
                <w:rFonts w:eastAsia="Times New Roman"/>
                <w:color w:val="000000"/>
                <w:lang w:eastAsia="ko-KR"/>
              </w:rPr>
            </w:pPr>
          </w:p>
        </w:tc>
      </w:tr>
      <w:tr w:rsidR="006D150D" w:rsidRPr="008E4F51" w14:paraId="32AFB50D" w14:textId="77777777" w:rsidTr="00906F92">
        <w:trPr>
          <w:trHeight w:val="300"/>
        </w:trPr>
        <w:tc>
          <w:tcPr>
            <w:tcW w:w="960" w:type="dxa"/>
            <w:tcBorders>
              <w:top w:val="nil"/>
              <w:left w:val="nil"/>
              <w:bottom w:val="nil"/>
              <w:right w:val="nil"/>
            </w:tcBorders>
            <w:shd w:val="clear" w:color="auto" w:fill="auto"/>
            <w:noWrap/>
            <w:vAlign w:val="bottom"/>
            <w:hideMark/>
          </w:tcPr>
          <w:p w14:paraId="72401B4A"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Lithuania</w:t>
            </w:r>
          </w:p>
        </w:tc>
        <w:tc>
          <w:tcPr>
            <w:tcW w:w="960" w:type="dxa"/>
            <w:tcBorders>
              <w:top w:val="nil"/>
              <w:left w:val="nil"/>
              <w:bottom w:val="nil"/>
              <w:right w:val="nil"/>
            </w:tcBorders>
            <w:shd w:val="clear" w:color="auto" w:fill="auto"/>
            <w:noWrap/>
            <w:vAlign w:val="bottom"/>
            <w:hideMark/>
          </w:tcPr>
          <w:p w14:paraId="2063E0B1" w14:textId="77777777" w:rsidR="006D150D" w:rsidRPr="008E4F51" w:rsidRDefault="006D150D" w:rsidP="00906F92">
            <w:pPr>
              <w:rPr>
                <w:rFonts w:eastAsia="Times New Roman"/>
                <w:color w:val="000000"/>
                <w:lang w:eastAsia="ko-KR"/>
              </w:rPr>
            </w:pPr>
          </w:p>
        </w:tc>
      </w:tr>
      <w:tr w:rsidR="006D150D" w:rsidRPr="008E4F51" w14:paraId="30D3C553" w14:textId="77777777" w:rsidTr="00906F92">
        <w:trPr>
          <w:trHeight w:val="300"/>
        </w:trPr>
        <w:tc>
          <w:tcPr>
            <w:tcW w:w="1920" w:type="dxa"/>
            <w:gridSpan w:val="2"/>
            <w:tcBorders>
              <w:top w:val="nil"/>
              <w:left w:val="nil"/>
              <w:bottom w:val="nil"/>
              <w:right w:val="nil"/>
            </w:tcBorders>
            <w:shd w:val="clear" w:color="auto" w:fill="auto"/>
            <w:noWrap/>
            <w:vAlign w:val="bottom"/>
            <w:hideMark/>
          </w:tcPr>
          <w:p w14:paraId="19C189E5"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Luxembourg</w:t>
            </w:r>
          </w:p>
        </w:tc>
      </w:tr>
      <w:tr w:rsidR="006D150D" w:rsidRPr="008E4F51" w14:paraId="3C84982E" w14:textId="77777777" w:rsidTr="00906F92">
        <w:trPr>
          <w:trHeight w:val="300"/>
        </w:trPr>
        <w:tc>
          <w:tcPr>
            <w:tcW w:w="1920" w:type="dxa"/>
            <w:gridSpan w:val="2"/>
            <w:tcBorders>
              <w:top w:val="nil"/>
              <w:left w:val="nil"/>
              <w:bottom w:val="nil"/>
              <w:right w:val="nil"/>
            </w:tcBorders>
            <w:shd w:val="clear" w:color="auto" w:fill="auto"/>
            <w:noWrap/>
            <w:vAlign w:val="bottom"/>
            <w:hideMark/>
          </w:tcPr>
          <w:p w14:paraId="4745BE4B" w14:textId="77777777" w:rsidR="006D1FB7" w:rsidRDefault="006D1FB7" w:rsidP="00906F92">
            <w:pPr>
              <w:rPr>
                <w:rFonts w:eastAsia="Times New Roman"/>
                <w:color w:val="000000"/>
                <w:lang w:eastAsia="ko-KR"/>
              </w:rPr>
            </w:pPr>
            <w:r>
              <w:rPr>
                <w:rFonts w:eastAsia="Times New Roman"/>
                <w:color w:val="000000"/>
                <w:lang w:eastAsia="ko-KR"/>
              </w:rPr>
              <w:t>Mexico</w:t>
            </w:r>
          </w:p>
          <w:p w14:paraId="59A2257A"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Netherlands</w:t>
            </w:r>
          </w:p>
        </w:tc>
      </w:tr>
      <w:tr w:rsidR="006D150D" w:rsidRPr="008E4F51" w14:paraId="2F9613BE" w14:textId="77777777" w:rsidTr="00906F92">
        <w:trPr>
          <w:trHeight w:val="300"/>
        </w:trPr>
        <w:tc>
          <w:tcPr>
            <w:tcW w:w="1920" w:type="dxa"/>
            <w:gridSpan w:val="2"/>
            <w:tcBorders>
              <w:top w:val="nil"/>
              <w:left w:val="nil"/>
              <w:bottom w:val="nil"/>
              <w:right w:val="nil"/>
            </w:tcBorders>
            <w:shd w:val="clear" w:color="auto" w:fill="auto"/>
            <w:noWrap/>
            <w:vAlign w:val="bottom"/>
            <w:hideMark/>
          </w:tcPr>
          <w:p w14:paraId="45CEF4E7" w14:textId="77777777" w:rsidR="006D150D" w:rsidRPr="008E4F51" w:rsidRDefault="006D150D" w:rsidP="00906F92">
            <w:pPr>
              <w:rPr>
                <w:rFonts w:eastAsia="Times New Roman"/>
                <w:color w:val="000000"/>
                <w:lang w:eastAsia="ko-KR"/>
              </w:rPr>
            </w:pPr>
          </w:p>
        </w:tc>
      </w:tr>
      <w:tr w:rsidR="006D150D" w:rsidRPr="008E4F51" w14:paraId="21CBD0B2" w14:textId="77777777" w:rsidTr="00906F92">
        <w:trPr>
          <w:trHeight w:val="300"/>
        </w:trPr>
        <w:tc>
          <w:tcPr>
            <w:tcW w:w="960" w:type="dxa"/>
            <w:tcBorders>
              <w:top w:val="nil"/>
              <w:left w:val="nil"/>
              <w:bottom w:val="nil"/>
              <w:right w:val="nil"/>
            </w:tcBorders>
            <w:shd w:val="clear" w:color="auto" w:fill="auto"/>
            <w:noWrap/>
            <w:vAlign w:val="bottom"/>
            <w:hideMark/>
          </w:tcPr>
          <w:p w14:paraId="2B8020FD"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Norway</w:t>
            </w:r>
          </w:p>
        </w:tc>
        <w:tc>
          <w:tcPr>
            <w:tcW w:w="960" w:type="dxa"/>
            <w:tcBorders>
              <w:top w:val="nil"/>
              <w:left w:val="nil"/>
              <w:bottom w:val="nil"/>
              <w:right w:val="nil"/>
            </w:tcBorders>
            <w:shd w:val="clear" w:color="auto" w:fill="auto"/>
            <w:noWrap/>
            <w:vAlign w:val="bottom"/>
            <w:hideMark/>
          </w:tcPr>
          <w:p w14:paraId="6D7E4FE4" w14:textId="77777777" w:rsidR="006D150D" w:rsidRPr="008E4F51" w:rsidRDefault="006D150D" w:rsidP="00906F92">
            <w:pPr>
              <w:rPr>
                <w:rFonts w:eastAsia="Times New Roman"/>
                <w:color w:val="000000"/>
                <w:lang w:eastAsia="ko-KR"/>
              </w:rPr>
            </w:pPr>
          </w:p>
        </w:tc>
      </w:tr>
      <w:tr w:rsidR="006D150D" w:rsidRPr="008E4F51" w14:paraId="04D7087E" w14:textId="77777777" w:rsidTr="00906F92">
        <w:trPr>
          <w:trHeight w:val="300"/>
        </w:trPr>
        <w:tc>
          <w:tcPr>
            <w:tcW w:w="1920" w:type="dxa"/>
            <w:gridSpan w:val="2"/>
            <w:tcBorders>
              <w:top w:val="nil"/>
              <w:left w:val="nil"/>
              <w:bottom w:val="nil"/>
              <w:right w:val="nil"/>
            </w:tcBorders>
            <w:shd w:val="clear" w:color="auto" w:fill="auto"/>
            <w:noWrap/>
            <w:vAlign w:val="bottom"/>
            <w:hideMark/>
          </w:tcPr>
          <w:p w14:paraId="231201AD"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Philippines</w:t>
            </w:r>
          </w:p>
        </w:tc>
      </w:tr>
      <w:tr w:rsidR="006D150D" w:rsidRPr="008E4F51" w14:paraId="7F1CB46E" w14:textId="77777777" w:rsidTr="00906F92">
        <w:trPr>
          <w:trHeight w:val="300"/>
        </w:trPr>
        <w:tc>
          <w:tcPr>
            <w:tcW w:w="960" w:type="dxa"/>
            <w:tcBorders>
              <w:top w:val="nil"/>
              <w:left w:val="nil"/>
              <w:bottom w:val="nil"/>
              <w:right w:val="nil"/>
            </w:tcBorders>
            <w:shd w:val="clear" w:color="auto" w:fill="auto"/>
            <w:noWrap/>
            <w:vAlign w:val="bottom"/>
            <w:hideMark/>
          </w:tcPr>
          <w:p w14:paraId="486D778E"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Poland</w:t>
            </w:r>
          </w:p>
        </w:tc>
        <w:tc>
          <w:tcPr>
            <w:tcW w:w="960" w:type="dxa"/>
            <w:tcBorders>
              <w:top w:val="nil"/>
              <w:left w:val="nil"/>
              <w:bottom w:val="nil"/>
              <w:right w:val="nil"/>
            </w:tcBorders>
            <w:shd w:val="clear" w:color="auto" w:fill="auto"/>
            <w:noWrap/>
            <w:vAlign w:val="bottom"/>
            <w:hideMark/>
          </w:tcPr>
          <w:p w14:paraId="2A905BC1" w14:textId="77777777" w:rsidR="006D150D" w:rsidRPr="008E4F51" w:rsidRDefault="006D150D" w:rsidP="00906F92">
            <w:pPr>
              <w:rPr>
                <w:rFonts w:eastAsia="Times New Roman"/>
                <w:color w:val="000000"/>
                <w:lang w:eastAsia="ko-KR"/>
              </w:rPr>
            </w:pPr>
          </w:p>
        </w:tc>
      </w:tr>
      <w:tr w:rsidR="006D150D" w:rsidRPr="008E4F51" w14:paraId="35D80C5E" w14:textId="77777777" w:rsidTr="00906F92">
        <w:trPr>
          <w:trHeight w:val="300"/>
        </w:trPr>
        <w:tc>
          <w:tcPr>
            <w:tcW w:w="960" w:type="dxa"/>
            <w:tcBorders>
              <w:top w:val="nil"/>
              <w:left w:val="nil"/>
              <w:bottom w:val="nil"/>
              <w:right w:val="nil"/>
            </w:tcBorders>
            <w:shd w:val="clear" w:color="auto" w:fill="auto"/>
            <w:noWrap/>
            <w:vAlign w:val="bottom"/>
            <w:hideMark/>
          </w:tcPr>
          <w:p w14:paraId="0B42DE72"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Portugal</w:t>
            </w:r>
          </w:p>
        </w:tc>
        <w:tc>
          <w:tcPr>
            <w:tcW w:w="960" w:type="dxa"/>
            <w:tcBorders>
              <w:top w:val="nil"/>
              <w:left w:val="nil"/>
              <w:bottom w:val="nil"/>
              <w:right w:val="nil"/>
            </w:tcBorders>
            <w:shd w:val="clear" w:color="auto" w:fill="auto"/>
            <w:noWrap/>
            <w:vAlign w:val="bottom"/>
            <w:hideMark/>
          </w:tcPr>
          <w:p w14:paraId="1F5C5FE8" w14:textId="77777777" w:rsidR="006D150D" w:rsidRPr="008E4F51" w:rsidRDefault="006D150D" w:rsidP="00906F92">
            <w:pPr>
              <w:rPr>
                <w:rFonts w:eastAsia="Times New Roman"/>
                <w:color w:val="000000"/>
                <w:lang w:eastAsia="ko-KR"/>
              </w:rPr>
            </w:pPr>
          </w:p>
        </w:tc>
      </w:tr>
      <w:tr w:rsidR="006D150D" w:rsidRPr="008E4F51" w14:paraId="6C405109" w14:textId="77777777" w:rsidTr="00906F92">
        <w:trPr>
          <w:trHeight w:val="300"/>
        </w:trPr>
        <w:tc>
          <w:tcPr>
            <w:tcW w:w="960" w:type="dxa"/>
            <w:tcBorders>
              <w:top w:val="nil"/>
              <w:left w:val="nil"/>
              <w:bottom w:val="nil"/>
              <w:right w:val="nil"/>
            </w:tcBorders>
            <w:shd w:val="clear" w:color="auto" w:fill="auto"/>
            <w:noWrap/>
            <w:vAlign w:val="bottom"/>
            <w:hideMark/>
          </w:tcPr>
          <w:p w14:paraId="3C5F37C2"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Romania</w:t>
            </w:r>
          </w:p>
        </w:tc>
        <w:tc>
          <w:tcPr>
            <w:tcW w:w="960" w:type="dxa"/>
            <w:tcBorders>
              <w:top w:val="nil"/>
              <w:left w:val="nil"/>
              <w:bottom w:val="nil"/>
              <w:right w:val="nil"/>
            </w:tcBorders>
            <w:shd w:val="clear" w:color="auto" w:fill="auto"/>
            <w:noWrap/>
            <w:vAlign w:val="bottom"/>
            <w:hideMark/>
          </w:tcPr>
          <w:p w14:paraId="2BEADD80" w14:textId="77777777" w:rsidR="006D150D" w:rsidRPr="008E4F51" w:rsidRDefault="006D150D" w:rsidP="00906F92">
            <w:pPr>
              <w:rPr>
                <w:rFonts w:eastAsia="Times New Roman"/>
                <w:color w:val="000000"/>
                <w:lang w:eastAsia="ko-KR"/>
              </w:rPr>
            </w:pPr>
          </w:p>
        </w:tc>
      </w:tr>
      <w:tr w:rsidR="006D150D" w:rsidRPr="008E4F51" w14:paraId="4484494E" w14:textId="77777777" w:rsidTr="00906F92">
        <w:trPr>
          <w:trHeight w:val="300"/>
        </w:trPr>
        <w:tc>
          <w:tcPr>
            <w:tcW w:w="960" w:type="dxa"/>
            <w:tcBorders>
              <w:top w:val="nil"/>
              <w:left w:val="nil"/>
              <w:bottom w:val="nil"/>
              <w:right w:val="nil"/>
            </w:tcBorders>
            <w:shd w:val="clear" w:color="auto" w:fill="auto"/>
            <w:noWrap/>
            <w:vAlign w:val="bottom"/>
            <w:hideMark/>
          </w:tcPr>
          <w:p w14:paraId="7A71C8CB"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Slovakia</w:t>
            </w:r>
          </w:p>
        </w:tc>
        <w:tc>
          <w:tcPr>
            <w:tcW w:w="960" w:type="dxa"/>
            <w:tcBorders>
              <w:top w:val="nil"/>
              <w:left w:val="nil"/>
              <w:bottom w:val="nil"/>
              <w:right w:val="nil"/>
            </w:tcBorders>
            <w:shd w:val="clear" w:color="auto" w:fill="auto"/>
            <w:noWrap/>
            <w:vAlign w:val="bottom"/>
            <w:hideMark/>
          </w:tcPr>
          <w:p w14:paraId="7A30FDC4" w14:textId="77777777" w:rsidR="006D150D" w:rsidRPr="008E4F51" w:rsidRDefault="006D150D" w:rsidP="00906F92">
            <w:pPr>
              <w:rPr>
                <w:rFonts w:eastAsia="Times New Roman"/>
                <w:color w:val="000000"/>
                <w:lang w:eastAsia="ko-KR"/>
              </w:rPr>
            </w:pPr>
          </w:p>
        </w:tc>
      </w:tr>
      <w:tr w:rsidR="006D150D" w:rsidRPr="008E4F51" w14:paraId="28E611F5" w14:textId="77777777" w:rsidTr="00906F92">
        <w:trPr>
          <w:trHeight w:val="300"/>
        </w:trPr>
        <w:tc>
          <w:tcPr>
            <w:tcW w:w="960" w:type="dxa"/>
            <w:tcBorders>
              <w:top w:val="nil"/>
              <w:left w:val="nil"/>
              <w:bottom w:val="nil"/>
              <w:right w:val="nil"/>
            </w:tcBorders>
            <w:shd w:val="clear" w:color="auto" w:fill="auto"/>
            <w:noWrap/>
            <w:vAlign w:val="bottom"/>
            <w:hideMark/>
          </w:tcPr>
          <w:p w14:paraId="21FD0DFA"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Slovenia</w:t>
            </w:r>
          </w:p>
        </w:tc>
        <w:tc>
          <w:tcPr>
            <w:tcW w:w="960" w:type="dxa"/>
            <w:tcBorders>
              <w:top w:val="nil"/>
              <w:left w:val="nil"/>
              <w:bottom w:val="nil"/>
              <w:right w:val="nil"/>
            </w:tcBorders>
            <w:shd w:val="clear" w:color="auto" w:fill="auto"/>
            <w:noWrap/>
            <w:vAlign w:val="bottom"/>
            <w:hideMark/>
          </w:tcPr>
          <w:p w14:paraId="040E0518" w14:textId="77777777" w:rsidR="006D150D" w:rsidRPr="008E4F51" w:rsidRDefault="006D150D" w:rsidP="00906F92">
            <w:pPr>
              <w:rPr>
                <w:rFonts w:eastAsia="Times New Roman"/>
                <w:color w:val="000000"/>
                <w:lang w:eastAsia="ko-KR"/>
              </w:rPr>
            </w:pPr>
          </w:p>
        </w:tc>
      </w:tr>
      <w:tr w:rsidR="006D150D" w:rsidRPr="008E4F51" w14:paraId="7B1B5787" w14:textId="77777777" w:rsidTr="00906F92">
        <w:trPr>
          <w:trHeight w:val="300"/>
        </w:trPr>
        <w:tc>
          <w:tcPr>
            <w:tcW w:w="1920" w:type="dxa"/>
            <w:gridSpan w:val="2"/>
            <w:tcBorders>
              <w:top w:val="nil"/>
              <w:left w:val="nil"/>
              <w:bottom w:val="nil"/>
              <w:right w:val="nil"/>
            </w:tcBorders>
            <w:shd w:val="clear" w:color="auto" w:fill="auto"/>
            <w:noWrap/>
            <w:vAlign w:val="bottom"/>
            <w:hideMark/>
          </w:tcPr>
          <w:p w14:paraId="1D4BAC3D"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South Africa</w:t>
            </w:r>
          </w:p>
        </w:tc>
      </w:tr>
      <w:tr w:rsidR="006D150D" w:rsidRPr="008E4F51" w14:paraId="55EC4011" w14:textId="77777777" w:rsidTr="00906F92">
        <w:trPr>
          <w:trHeight w:val="300"/>
        </w:trPr>
        <w:tc>
          <w:tcPr>
            <w:tcW w:w="960" w:type="dxa"/>
            <w:tcBorders>
              <w:top w:val="nil"/>
              <w:left w:val="nil"/>
              <w:bottom w:val="nil"/>
              <w:right w:val="nil"/>
            </w:tcBorders>
            <w:shd w:val="clear" w:color="auto" w:fill="auto"/>
            <w:noWrap/>
            <w:vAlign w:val="bottom"/>
            <w:hideMark/>
          </w:tcPr>
          <w:p w14:paraId="62F9DF29"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Spain</w:t>
            </w:r>
          </w:p>
        </w:tc>
        <w:tc>
          <w:tcPr>
            <w:tcW w:w="960" w:type="dxa"/>
            <w:tcBorders>
              <w:top w:val="nil"/>
              <w:left w:val="nil"/>
              <w:bottom w:val="nil"/>
              <w:right w:val="nil"/>
            </w:tcBorders>
            <w:shd w:val="clear" w:color="auto" w:fill="auto"/>
            <w:noWrap/>
            <w:vAlign w:val="bottom"/>
            <w:hideMark/>
          </w:tcPr>
          <w:p w14:paraId="26F31152" w14:textId="77777777" w:rsidR="006D150D" w:rsidRPr="008E4F51" w:rsidRDefault="006D150D" w:rsidP="00906F92">
            <w:pPr>
              <w:rPr>
                <w:rFonts w:eastAsia="Times New Roman"/>
                <w:color w:val="000000"/>
                <w:lang w:eastAsia="ko-KR"/>
              </w:rPr>
            </w:pPr>
          </w:p>
        </w:tc>
      </w:tr>
      <w:tr w:rsidR="006D150D" w:rsidRPr="008E4F51" w14:paraId="4A9A59EF" w14:textId="77777777" w:rsidTr="00906F92">
        <w:trPr>
          <w:trHeight w:val="300"/>
        </w:trPr>
        <w:tc>
          <w:tcPr>
            <w:tcW w:w="960" w:type="dxa"/>
            <w:tcBorders>
              <w:top w:val="nil"/>
              <w:left w:val="nil"/>
              <w:bottom w:val="nil"/>
              <w:right w:val="nil"/>
            </w:tcBorders>
            <w:shd w:val="clear" w:color="auto" w:fill="auto"/>
            <w:noWrap/>
            <w:vAlign w:val="bottom"/>
            <w:hideMark/>
          </w:tcPr>
          <w:p w14:paraId="6362BEBD"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Sweden</w:t>
            </w:r>
          </w:p>
        </w:tc>
        <w:tc>
          <w:tcPr>
            <w:tcW w:w="960" w:type="dxa"/>
            <w:tcBorders>
              <w:top w:val="nil"/>
              <w:left w:val="nil"/>
              <w:bottom w:val="nil"/>
              <w:right w:val="nil"/>
            </w:tcBorders>
            <w:shd w:val="clear" w:color="auto" w:fill="auto"/>
            <w:noWrap/>
            <w:vAlign w:val="bottom"/>
            <w:hideMark/>
          </w:tcPr>
          <w:p w14:paraId="5E3C4E72" w14:textId="77777777" w:rsidR="006D150D" w:rsidRPr="008E4F51" w:rsidRDefault="006D150D" w:rsidP="00906F92">
            <w:pPr>
              <w:rPr>
                <w:rFonts w:eastAsia="Times New Roman"/>
                <w:color w:val="000000"/>
                <w:lang w:eastAsia="ko-KR"/>
              </w:rPr>
            </w:pPr>
          </w:p>
        </w:tc>
      </w:tr>
      <w:tr w:rsidR="006D150D" w:rsidRPr="008E4F51" w14:paraId="227F13BC" w14:textId="77777777" w:rsidTr="00906F92">
        <w:trPr>
          <w:trHeight w:val="300"/>
        </w:trPr>
        <w:tc>
          <w:tcPr>
            <w:tcW w:w="1920" w:type="dxa"/>
            <w:gridSpan w:val="2"/>
            <w:tcBorders>
              <w:top w:val="nil"/>
              <w:left w:val="nil"/>
              <w:bottom w:val="nil"/>
              <w:right w:val="nil"/>
            </w:tcBorders>
            <w:shd w:val="clear" w:color="auto" w:fill="auto"/>
            <w:noWrap/>
            <w:vAlign w:val="bottom"/>
            <w:hideMark/>
          </w:tcPr>
          <w:p w14:paraId="1E78FC98"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Switzerland</w:t>
            </w:r>
          </w:p>
        </w:tc>
      </w:tr>
      <w:tr w:rsidR="006D150D" w:rsidRPr="008E4F51" w14:paraId="202C319C" w14:textId="77777777" w:rsidTr="00906F92">
        <w:trPr>
          <w:trHeight w:val="300"/>
        </w:trPr>
        <w:tc>
          <w:tcPr>
            <w:tcW w:w="1920" w:type="dxa"/>
            <w:gridSpan w:val="2"/>
            <w:tcBorders>
              <w:top w:val="nil"/>
              <w:left w:val="nil"/>
              <w:bottom w:val="nil"/>
              <w:right w:val="nil"/>
            </w:tcBorders>
            <w:shd w:val="clear" w:color="auto" w:fill="auto"/>
            <w:noWrap/>
            <w:vAlign w:val="bottom"/>
            <w:hideMark/>
          </w:tcPr>
          <w:p w14:paraId="0024D5D6" w14:textId="77777777" w:rsidR="006D150D" w:rsidRPr="008E4F51" w:rsidRDefault="006D150D" w:rsidP="00906F92">
            <w:pPr>
              <w:rPr>
                <w:rFonts w:eastAsia="Times New Roman"/>
                <w:color w:val="000000"/>
                <w:lang w:eastAsia="ko-KR"/>
              </w:rPr>
            </w:pPr>
            <w:r w:rsidRPr="008E4F51">
              <w:rPr>
                <w:rFonts w:eastAsia="Times New Roman"/>
                <w:color w:val="000000"/>
                <w:lang w:eastAsia="ko-KR"/>
              </w:rPr>
              <w:t>United Kingdom</w:t>
            </w:r>
          </w:p>
        </w:tc>
      </w:tr>
    </w:tbl>
    <w:p w14:paraId="5A77F05C" w14:textId="77777777" w:rsidR="006D150D" w:rsidRDefault="008F3C18">
      <w:pPr>
        <w:sectPr w:rsidR="006D150D" w:rsidSect="006D150D">
          <w:endnotePr>
            <w:numFmt w:val="decimal"/>
          </w:endnotePr>
          <w:type w:val="continuous"/>
          <w:pgSz w:w="12240" w:h="15840"/>
          <w:pgMar w:top="1440" w:right="1440" w:bottom="1440" w:left="1440" w:header="720" w:footer="720" w:gutter="0"/>
          <w:cols w:num="3" w:space="720"/>
          <w:docGrid w:linePitch="360"/>
        </w:sectPr>
      </w:pPr>
      <w:r>
        <w:t xml:space="preserve">  United States</w:t>
      </w:r>
    </w:p>
    <w:p w14:paraId="464CD49C" w14:textId="77777777" w:rsidR="008E4F51" w:rsidRPr="008E4F51" w:rsidRDefault="008E4F51" w:rsidP="006D150D">
      <w:pPr>
        <w:sectPr w:rsidR="008E4F51" w:rsidRPr="008E4F51" w:rsidSect="006D150D">
          <w:endnotePr>
            <w:numFmt w:val="decimal"/>
          </w:endnotePr>
          <w:type w:val="continuous"/>
          <w:pgSz w:w="12240" w:h="15840"/>
          <w:pgMar w:top="1440" w:right="1440" w:bottom="1440" w:left="1440" w:header="720" w:footer="720" w:gutter="0"/>
          <w:cols w:space="720"/>
          <w:docGrid w:linePitch="360"/>
        </w:sectPr>
      </w:pPr>
    </w:p>
    <w:p w14:paraId="0C8540B0" w14:textId="77777777" w:rsidR="008E4F51" w:rsidRDefault="008E4F51" w:rsidP="00C53C94">
      <w:pPr>
        <w:spacing w:line="480" w:lineRule="auto"/>
        <w:sectPr w:rsidR="008E4F51" w:rsidSect="008E4F51">
          <w:endnotePr>
            <w:numFmt w:val="decimal"/>
          </w:endnotePr>
          <w:type w:val="continuous"/>
          <w:pgSz w:w="12240" w:h="15840"/>
          <w:pgMar w:top="1440" w:right="1440" w:bottom="1440" w:left="1440" w:header="720" w:footer="720" w:gutter="0"/>
          <w:cols w:num="3" w:space="720"/>
          <w:docGrid w:linePitch="360"/>
        </w:sectPr>
      </w:pPr>
    </w:p>
    <w:p w14:paraId="6F0F5582" w14:textId="77777777" w:rsidR="008E4F51" w:rsidRDefault="008E4F51" w:rsidP="00C53C94">
      <w:pPr>
        <w:spacing w:line="480" w:lineRule="auto"/>
      </w:pPr>
    </w:p>
    <w:p w14:paraId="3A50578F" w14:textId="77777777" w:rsidR="00395CB7" w:rsidRDefault="00395CB7" w:rsidP="00C53C94">
      <w:pPr>
        <w:spacing w:line="480" w:lineRule="auto"/>
      </w:pPr>
    </w:p>
    <w:p w14:paraId="373BE231" w14:textId="77777777" w:rsidR="00395CB7" w:rsidRDefault="00395CB7" w:rsidP="00C53C94">
      <w:pPr>
        <w:spacing w:line="480" w:lineRule="auto"/>
      </w:pPr>
    </w:p>
    <w:p w14:paraId="0F613218" w14:textId="77777777" w:rsidR="00395CB7" w:rsidRDefault="00395CB7" w:rsidP="00C53C94">
      <w:pPr>
        <w:spacing w:line="480" w:lineRule="auto"/>
      </w:pPr>
    </w:p>
    <w:p w14:paraId="1ECB705A" w14:textId="77777777" w:rsidR="00395CB7" w:rsidRDefault="00395CB7" w:rsidP="00C53C94">
      <w:pPr>
        <w:spacing w:line="480" w:lineRule="auto"/>
      </w:pPr>
    </w:p>
    <w:p w14:paraId="7DA1F7EB" w14:textId="77777777" w:rsidR="00395CB7" w:rsidRPr="00C53C94" w:rsidRDefault="00395CB7" w:rsidP="00C53C94">
      <w:pPr>
        <w:spacing w:line="480" w:lineRule="auto"/>
        <w:rPr>
          <w:rFonts w:eastAsia="Times New Roman"/>
        </w:rPr>
      </w:pPr>
    </w:p>
    <w:p w14:paraId="49B100A9" w14:textId="77777777" w:rsidR="00030B65" w:rsidRPr="00A066CE" w:rsidRDefault="00030B65" w:rsidP="0062613C"/>
    <w:p w14:paraId="26732AD6" w14:textId="77777777" w:rsidR="00030B65" w:rsidRPr="00A066CE" w:rsidRDefault="00030B65" w:rsidP="00030B65">
      <w:pPr>
        <w:sectPr w:rsidR="00030B65" w:rsidRPr="00A066CE" w:rsidSect="008E4F51">
          <w:endnotePr>
            <w:numFmt w:val="decimal"/>
          </w:endnotePr>
          <w:type w:val="continuous"/>
          <w:pgSz w:w="12240" w:h="15840"/>
          <w:pgMar w:top="1440" w:right="1440" w:bottom="1440" w:left="1440" w:header="720" w:footer="720" w:gutter="0"/>
          <w:cols w:space="720"/>
          <w:docGrid w:linePitch="360"/>
        </w:sectPr>
      </w:pPr>
    </w:p>
    <w:p w14:paraId="2B3F2C9C" w14:textId="77777777" w:rsidR="00030B65" w:rsidRPr="00A066CE" w:rsidRDefault="00030B65" w:rsidP="002D7707"/>
    <w:sectPr w:rsidR="00030B65" w:rsidRPr="00A066CE" w:rsidSect="00030B65">
      <w:endnotePr>
        <w:numFmt w:val="decimal"/>
      </w:endnotePr>
      <w:type w:val="continuous"/>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2" w:author="Author" w:initials="A">
    <w:p w14:paraId="10B5FDCA" w14:textId="170D34B1" w:rsidR="006C5FBA" w:rsidRDefault="006C5FBA">
      <w:pPr>
        <w:pStyle w:val="CommentText"/>
      </w:pPr>
      <w:r>
        <w:rPr>
          <w:rStyle w:val="CommentReference"/>
        </w:rPr>
        <w:annotationRef/>
      </w:r>
      <w:r>
        <w:t>Please see our acceptance email, and the accompanying email, for these instructions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0B5FDC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0B5FDCA" w16cid:durableId="1D8A0F0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D3581D" w14:textId="77777777" w:rsidR="00101683" w:rsidRDefault="00101683" w:rsidP="00522FE6">
      <w:pPr>
        <w:spacing w:after="240"/>
      </w:pPr>
      <w:r>
        <w:t>NOTES</w:t>
      </w:r>
    </w:p>
  </w:endnote>
  <w:endnote w:type="continuationSeparator" w:id="0">
    <w:p w14:paraId="00A4D207" w14:textId="77777777" w:rsidR="00101683" w:rsidRPr="008E1353" w:rsidRDefault="00101683" w:rsidP="00314403">
      <w:pPr>
        <w:pStyle w:val="Footer"/>
        <w:spacing w:line="20" w:lineRule="exact"/>
        <w:rPr>
          <w:sz w:val="20"/>
        </w:rPr>
      </w:pPr>
      <w:r>
        <w:continuationSeparator/>
      </w:r>
    </w:p>
  </w:endnote>
  <w:endnote w:type="continuationNotice" w:id="1">
    <w:p w14:paraId="59C83EED" w14:textId="77777777" w:rsidR="00101683" w:rsidRPr="00ED7561" w:rsidRDefault="00101683" w:rsidP="00ED7561">
      <w:pPr>
        <w:spacing w:line="40" w:lineRule="exact"/>
        <w:rPr>
          <w:sz w:val="20"/>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roma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A24C7B" w14:textId="77777777" w:rsidR="00101683" w:rsidRDefault="00101683" w:rsidP="0088797C">
      <w:r>
        <w:separator/>
      </w:r>
    </w:p>
  </w:footnote>
  <w:footnote w:type="continuationSeparator" w:id="0">
    <w:p w14:paraId="73976DBB" w14:textId="77777777" w:rsidR="00101683" w:rsidRDefault="00101683" w:rsidP="0088797C">
      <w:r>
        <w:continuationSeparator/>
      </w:r>
    </w:p>
  </w:footnote>
  <w:footnote w:id="1">
    <w:p w14:paraId="2757E654" w14:textId="40EBE8B5" w:rsidR="006C5FBA" w:rsidRPr="0041151A" w:rsidRDefault="006C5FBA">
      <w:pPr>
        <w:pStyle w:val="FootnoteText"/>
        <w:rPr>
          <w:sz w:val="24"/>
          <w:szCs w:val="24"/>
        </w:rPr>
      </w:pPr>
      <w:r w:rsidRPr="0041151A">
        <w:rPr>
          <w:rStyle w:val="FootnoteReference"/>
          <w:sz w:val="24"/>
          <w:szCs w:val="24"/>
        </w:rPr>
        <w:footnoteRef/>
      </w:r>
      <w:r w:rsidRPr="0041151A">
        <w:rPr>
          <w:sz w:val="24"/>
          <w:szCs w:val="24"/>
        </w:rPr>
        <w:t xml:space="preserve"> Dates for the analysis </w:t>
      </w:r>
      <w:r>
        <w:rPr>
          <w:sz w:val="24"/>
          <w:szCs w:val="24"/>
        </w:rPr>
        <w:t>reflect the available data</w:t>
      </w:r>
      <w:r w:rsidRPr="0041151A">
        <w:rPr>
          <w:sz w:val="24"/>
          <w:szCs w:val="24"/>
        </w:rPr>
        <w:t>.</w:t>
      </w:r>
    </w:p>
  </w:footnote>
  <w:footnote w:id="2">
    <w:p w14:paraId="5B157785" w14:textId="56DEBA0C" w:rsidR="006C5FBA" w:rsidRPr="001A3D79" w:rsidRDefault="006C5FBA" w:rsidP="00DB7F44">
      <w:pPr>
        <w:pStyle w:val="FootnoteText"/>
        <w:spacing w:line="480" w:lineRule="auto"/>
        <w:jc w:val="both"/>
        <w:rPr>
          <w:sz w:val="24"/>
          <w:szCs w:val="24"/>
        </w:rPr>
      </w:pPr>
      <w:r w:rsidRPr="001A3D79">
        <w:rPr>
          <w:rStyle w:val="FootnoteReference"/>
          <w:sz w:val="24"/>
          <w:szCs w:val="24"/>
        </w:rPr>
        <w:footnoteRef/>
      </w:r>
      <w:r w:rsidRPr="001A3D79">
        <w:rPr>
          <w:sz w:val="24"/>
          <w:szCs w:val="24"/>
        </w:rPr>
        <w:t xml:space="preserve"> Median</w:t>
      </w:r>
      <w:r w:rsidR="00F15C74">
        <w:rPr>
          <w:sz w:val="24"/>
          <w:szCs w:val="24"/>
        </w:rPr>
        <w:t>-</w:t>
      </w:r>
      <w:r w:rsidRPr="001A3D79">
        <w:rPr>
          <w:sz w:val="24"/>
          <w:szCs w:val="24"/>
        </w:rPr>
        <w:t xml:space="preserve">voter theorists assume that individuals care mainly about their post-tax, post-transfer income, and “[v]oters with income below the decisive voter choose candidates who favor higher taxes and more redistribution; voters with income above the decisive voter desire lower taxes and less redistribution” (Meltzer and Richard 1981, 924). Although the model initially characterized a majoritarian two-party system, “the median-voter theorem also applies to unidimensional models of legislative politics in multiparty systems.” (Iversen 2010, 186). </w:t>
      </w:r>
    </w:p>
  </w:footnote>
  <w:footnote w:id="3">
    <w:p w14:paraId="61970A59" w14:textId="77777777" w:rsidR="006C5FBA" w:rsidRPr="001A3D79" w:rsidRDefault="006C5FBA" w:rsidP="00DB7F44">
      <w:pPr>
        <w:spacing w:line="480" w:lineRule="auto"/>
        <w:jc w:val="both"/>
      </w:pPr>
      <w:r w:rsidRPr="001A3D79">
        <w:rPr>
          <w:rStyle w:val="FootnoteReference"/>
        </w:rPr>
        <w:footnoteRef/>
      </w:r>
      <w:r w:rsidRPr="001A3D79">
        <w:t xml:space="preserve"> More precisely, voters pay the government the same proportion of their income in taxes, while receiving from the government a lump sum payment that is the same for all taxpayers. As inequality increases, so too does the government’s tax take and the amount it redistributes to voters. </w:t>
      </w:r>
    </w:p>
  </w:footnote>
  <w:footnote w:id="4">
    <w:p w14:paraId="7A74DAC9" w14:textId="77777777" w:rsidR="006C5FBA" w:rsidRPr="00CD35C3" w:rsidRDefault="006C5FBA" w:rsidP="002344F4">
      <w:pPr>
        <w:pStyle w:val="FootnoteText"/>
        <w:spacing w:line="480" w:lineRule="auto"/>
        <w:jc w:val="both"/>
        <w:rPr>
          <w:sz w:val="24"/>
          <w:szCs w:val="24"/>
        </w:rPr>
      </w:pPr>
      <w:r w:rsidRPr="00CD35C3">
        <w:rPr>
          <w:rStyle w:val="FootnoteReference"/>
          <w:sz w:val="24"/>
          <w:szCs w:val="24"/>
        </w:rPr>
        <w:footnoteRef/>
      </w:r>
      <w:r w:rsidRPr="00CD35C3">
        <w:rPr>
          <w:sz w:val="24"/>
          <w:szCs w:val="24"/>
        </w:rPr>
        <w:t xml:space="preserve"> </w:t>
      </w:r>
      <w:r>
        <w:rPr>
          <w:sz w:val="24"/>
          <w:szCs w:val="24"/>
        </w:rPr>
        <w:t>Examples include</w:t>
      </w:r>
      <w:r w:rsidRPr="00CD35C3">
        <w:rPr>
          <w:sz w:val="24"/>
          <w:szCs w:val="24"/>
        </w:rPr>
        <w:t xml:space="preserve"> the ratio of the mean to median income (Meltzer and Richard 1983); the ratio between the average income of the third quintile and the average income of the whole population (Larcinese 2007, 14); the share of income of the bottom half and the bottom quintile of the distribution (Milanovic 2000); the share of income accruing to the third quintile (Bassett et al. 1999); the income of the third and fourth quintiles (Perotti 1996); the distance between the upper and middle thirds of the income distrib</w:t>
      </w:r>
      <w:r>
        <w:rPr>
          <w:sz w:val="24"/>
          <w:szCs w:val="24"/>
        </w:rPr>
        <w:t>ution (Lupu and Pontusson 2011), and</w:t>
      </w:r>
      <w:r w:rsidRPr="00CD35C3">
        <w:rPr>
          <w:sz w:val="24"/>
          <w:szCs w:val="24"/>
        </w:rPr>
        <w:t xml:space="preserve"> </w:t>
      </w:r>
      <w:r>
        <w:rPr>
          <w:sz w:val="24"/>
          <w:szCs w:val="24"/>
        </w:rPr>
        <w:t xml:space="preserve">Gini coefficients of </w:t>
      </w:r>
      <w:r w:rsidRPr="001A3D79">
        <w:rPr>
          <w:sz w:val="24"/>
          <w:szCs w:val="24"/>
        </w:rPr>
        <w:t xml:space="preserve">post-tax, post-transfer </w:t>
      </w:r>
      <w:r>
        <w:rPr>
          <w:sz w:val="24"/>
          <w:szCs w:val="24"/>
        </w:rPr>
        <w:t>inequality</w:t>
      </w:r>
      <w:r w:rsidRPr="00CD35C3">
        <w:rPr>
          <w:sz w:val="24"/>
          <w:szCs w:val="24"/>
        </w:rPr>
        <w:t>.</w:t>
      </w:r>
    </w:p>
  </w:footnote>
  <w:footnote w:id="5">
    <w:p w14:paraId="6FFA44C8" w14:textId="77777777" w:rsidR="006C5FBA" w:rsidRPr="001A3D79" w:rsidRDefault="006C5FBA" w:rsidP="00D23693">
      <w:pPr>
        <w:pStyle w:val="FootnoteText"/>
        <w:spacing w:line="480" w:lineRule="auto"/>
        <w:jc w:val="both"/>
        <w:rPr>
          <w:sz w:val="24"/>
          <w:szCs w:val="24"/>
        </w:rPr>
      </w:pPr>
      <w:r w:rsidRPr="001A3D79">
        <w:rPr>
          <w:rStyle w:val="FootnoteReference"/>
          <w:sz w:val="24"/>
          <w:szCs w:val="24"/>
        </w:rPr>
        <w:footnoteRef/>
      </w:r>
      <w:r w:rsidRPr="001A3D79">
        <w:rPr>
          <w:sz w:val="24"/>
          <w:szCs w:val="24"/>
        </w:rPr>
        <w:t xml:space="preserve"> Meltzer and Richard (1981, 924) hint at an endogenous relationship between the two variables when they write: “[i]n recent years, the proportion of voters receiving social security has increased, rais</w:t>
      </w:r>
      <w:r>
        <w:rPr>
          <w:sz w:val="24"/>
          <w:szCs w:val="24"/>
        </w:rPr>
        <w:t>ing the number of voters favo</w:t>
      </w:r>
      <w:r w:rsidRPr="001A3D79">
        <w:rPr>
          <w:sz w:val="24"/>
          <w:szCs w:val="24"/>
        </w:rPr>
        <w:t xml:space="preserve">ring taxes on wage and salary income to finance redistribution,” although they are quick to </w:t>
      </w:r>
      <w:r>
        <w:rPr>
          <w:sz w:val="24"/>
          <w:szCs w:val="24"/>
        </w:rPr>
        <w:t>clarify</w:t>
      </w:r>
      <w:r w:rsidRPr="001A3D79">
        <w:rPr>
          <w:sz w:val="24"/>
          <w:szCs w:val="24"/>
        </w:rPr>
        <w:t xml:space="preserve"> that those receiving these benefits would want someone else to </w:t>
      </w:r>
      <w:r>
        <w:rPr>
          <w:sz w:val="24"/>
          <w:szCs w:val="24"/>
        </w:rPr>
        <w:t>pay for</w:t>
      </w:r>
      <w:r w:rsidRPr="001A3D79">
        <w:rPr>
          <w:sz w:val="24"/>
          <w:szCs w:val="24"/>
        </w:rPr>
        <w:t xml:space="preserve"> them. </w:t>
      </w:r>
    </w:p>
  </w:footnote>
  <w:footnote w:id="6">
    <w:p w14:paraId="6F2D9EEB" w14:textId="77777777" w:rsidR="006C5FBA" w:rsidRPr="001A3D79" w:rsidRDefault="006C5FBA" w:rsidP="008302A0">
      <w:pPr>
        <w:pStyle w:val="FootnoteText"/>
        <w:spacing w:line="480" w:lineRule="auto"/>
        <w:jc w:val="both"/>
        <w:rPr>
          <w:sz w:val="24"/>
          <w:szCs w:val="24"/>
        </w:rPr>
      </w:pPr>
      <w:r w:rsidRPr="001A3D79">
        <w:rPr>
          <w:rStyle w:val="FootnoteReference"/>
          <w:sz w:val="24"/>
          <w:szCs w:val="24"/>
        </w:rPr>
        <w:footnoteRef/>
      </w:r>
      <w:r w:rsidRPr="001A3D79">
        <w:rPr>
          <w:sz w:val="24"/>
          <w:szCs w:val="24"/>
        </w:rPr>
        <w:t xml:space="preserve"> Version 5</w:t>
      </w:r>
      <w:r>
        <w:rPr>
          <w:sz w:val="24"/>
          <w:szCs w:val="24"/>
        </w:rPr>
        <w:t>.1</w:t>
      </w:r>
      <w:r w:rsidRPr="001A3D79">
        <w:rPr>
          <w:sz w:val="24"/>
          <w:szCs w:val="24"/>
        </w:rPr>
        <w:t xml:space="preserve"> of the dataset allows users to incorporate uncertainty in the estimation of these indices into their modeling, a step that Solt enthusiastically recommends. The code to use multiply imputed estimates in regression equations, however, only works with one of the models that we estimate. As a result, </w:t>
      </w:r>
      <w:r>
        <w:rPr>
          <w:sz w:val="24"/>
          <w:szCs w:val="24"/>
        </w:rPr>
        <w:t>for each country-year observation, we average the hundred multiply-imputed values of market inequality and redistribution and use those in our analyses</w:t>
      </w:r>
      <w:r w:rsidRPr="001A3D79">
        <w:rPr>
          <w:sz w:val="24"/>
          <w:szCs w:val="24"/>
        </w:rPr>
        <w:t xml:space="preserve">. </w:t>
      </w:r>
    </w:p>
  </w:footnote>
  <w:footnote w:id="7">
    <w:p w14:paraId="44369DB9" w14:textId="77777777" w:rsidR="006C5FBA" w:rsidRPr="00A92D68" w:rsidRDefault="006C5FBA" w:rsidP="007A3C16">
      <w:pPr>
        <w:pStyle w:val="FootnoteText"/>
        <w:spacing w:line="480" w:lineRule="auto"/>
        <w:rPr>
          <w:sz w:val="24"/>
          <w:szCs w:val="24"/>
        </w:rPr>
      </w:pPr>
      <w:r w:rsidRPr="00A92D68">
        <w:rPr>
          <w:rStyle w:val="FootnoteReference"/>
          <w:sz w:val="24"/>
          <w:szCs w:val="24"/>
        </w:rPr>
        <w:footnoteRef/>
      </w:r>
      <w:r w:rsidRPr="00A92D68">
        <w:rPr>
          <w:sz w:val="24"/>
          <w:szCs w:val="24"/>
        </w:rPr>
        <w:t xml:space="preserve"> The patterns do not change if we plot </w:t>
      </w:r>
      <w:r>
        <w:rPr>
          <w:sz w:val="24"/>
          <w:szCs w:val="24"/>
        </w:rPr>
        <w:t xml:space="preserve">instead </w:t>
      </w:r>
      <w:r w:rsidRPr="00A92D68">
        <w:rPr>
          <w:sz w:val="24"/>
          <w:szCs w:val="24"/>
        </w:rPr>
        <w:t>levels and changes in absolute redistribution.</w:t>
      </w:r>
    </w:p>
  </w:footnote>
  <w:footnote w:id="8">
    <w:p w14:paraId="7E4DA1E3" w14:textId="577E313D" w:rsidR="006C5FBA" w:rsidRPr="00330E69" w:rsidRDefault="006C5FBA" w:rsidP="0078201E">
      <w:pPr>
        <w:pStyle w:val="FootnoteText"/>
        <w:spacing w:line="480" w:lineRule="auto"/>
        <w:jc w:val="both"/>
        <w:rPr>
          <w:sz w:val="24"/>
          <w:szCs w:val="24"/>
        </w:rPr>
      </w:pPr>
      <w:r w:rsidRPr="00330E69">
        <w:rPr>
          <w:rStyle w:val="FootnoteReference"/>
          <w:sz w:val="24"/>
          <w:szCs w:val="24"/>
        </w:rPr>
        <w:footnoteRef/>
      </w:r>
      <w:r w:rsidRPr="00330E69">
        <w:rPr>
          <w:sz w:val="24"/>
          <w:szCs w:val="24"/>
        </w:rPr>
        <w:t xml:space="preserve"> </w:t>
      </w:r>
      <w:r w:rsidRPr="00330E69">
        <w:rPr>
          <w:rFonts w:eastAsia="Times New Roman"/>
          <w:sz w:val="24"/>
          <w:szCs w:val="24"/>
        </w:rPr>
        <w:t xml:space="preserve">For </w:t>
      </w:r>
      <w:r>
        <w:rPr>
          <w:rFonts w:eastAsia="Times New Roman"/>
          <w:sz w:val="24"/>
          <w:szCs w:val="24"/>
        </w:rPr>
        <w:t>developed countries</w:t>
      </w:r>
      <w:r w:rsidRPr="00330E69">
        <w:rPr>
          <w:rFonts w:eastAsia="Times New Roman"/>
          <w:sz w:val="24"/>
          <w:szCs w:val="24"/>
        </w:rPr>
        <w:t xml:space="preserve">, we rely on the classification in Hicks and Kenworthy (2003, 54), with a few adjustments: following Huber and Stephens (2014), we classify Finland as Nordic/social democratic rather than conservative/Continental, Switzerland as conservative/Continental as opposed to liberal/Anglo-American, and Italy as Mediterranean. For less developed countries, we rely on Rudra’s (2007) classification, except for Greece, which we classify as Mediterranean rather than Productive (Ferrera 2010). Finally, we follow Cook (2010) by grouping democracies in Central/Eastern Europe (CEE) into a separate country category. </w:t>
      </w:r>
      <w:r w:rsidRPr="007018F5">
        <w:rPr>
          <w:sz w:val="24"/>
          <w:szCs w:val="24"/>
        </w:rPr>
        <w:t xml:space="preserve">When the classification of a particular country is in dispute, we tend to follow the most recent one, since country and regional experts usually update their categories using newly available information. </w:t>
      </w:r>
      <w:r w:rsidRPr="00330E69">
        <w:rPr>
          <w:rFonts w:eastAsia="Times New Roman"/>
          <w:sz w:val="24"/>
          <w:szCs w:val="24"/>
        </w:rPr>
        <w:t xml:space="preserve">We add Romania and Slovakia to </w:t>
      </w:r>
      <w:r>
        <w:rPr>
          <w:rFonts w:eastAsia="Times New Roman"/>
          <w:sz w:val="24"/>
          <w:szCs w:val="24"/>
        </w:rPr>
        <w:t>the CEE</w:t>
      </w:r>
      <w:r w:rsidRPr="00330E69">
        <w:rPr>
          <w:rFonts w:eastAsia="Times New Roman"/>
          <w:sz w:val="24"/>
          <w:szCs w:val="24"/>
        </w:rPr>
        <w:t xml:space="preserve"> cluster based on similarities in inequality and redi</w:t>
      </w:r>
      <w:r>
        <w:rPr>
          <w:rFonts w:eastAsia="Times New Roman"/>
          <w:sz w:val="24"/>
          <w:szCs w:val="24"/>
        </w:rPr>
        <w:t>stribution with cluster members</w:t>
      </w:r>
      <w:r w:rsidRPr="007018F5">
        <w:rPr>
          <w:sz w:val="24"/>
          <w:szCs w:val="24"/>
        </w:rPr>
        <w:t>.</w:t>
      </w:r>
    </w:p>
  </w:footnote>
  <w:footnote w:id="9">
    <w:p w14:paraId="03487FF3" w14:textId="1F33DCAF" w:rsidR="006C5FBA" w:rsidRPr="001A3D79" w:rsidRDefault="006C5FBA" w:rsidP="001A3D79">
      <w:pPr>
        <w:pStyle w:val="FootnoteText"/>
        <w:spacing w:line="480" w:lineRule="auto"/>
        <w:jc w:val="both"/>
        <w:rPr>
          <w:sz w:val="24"/>
          <w:szCs w:val="24"/>
        </w:rPr>
      </w:pPr>
      <w:r w:rsidRPr="001A3D79">
        <w:rPr>
          <w:rStyle w:val="FootnoteReference"/>
          <w:sz w:val="24"/>
          <w:szCs w:val="24"/>
        </w:rPr>
        <w:footnoteRef/>
      </w:r>
      <w:r w:rsidRPr="001A3D79">
        <w:rPr>
          <w:sz w:val="24"/>
          <w:szCs w:val="24"/>
        </w:rPr>
        <w:t xml:space="preserve"> Huber and Stephens (2012, 58) report a mean pre-tax and transfer Gini for the mid-1990s of 35 for both Nordic and Continental welfare states, versus a mean of 42.2 for the Liberal states. These numbers are for the working age population (versus the entire population in the case of the SWIID), and yet differences in market inequality between our respective numbers are not very large. The discrepancy is not due to data sources since the Luxembourg Income Study (LIS) on which scholars of </w:t>
      </w:r>
      <w:r>
        <w:rPr>
          <w:sz w:val="24"/>
          <w:szCs w:val="24"/>
        </w:rPr>
        <w:t>developed countries</w:t>
      </w:r>
      <w:r w:rsidRPr="001A3D79">
        <w:rPr>
          <w:sz w:val="24"/>
          <w:szCs w:val="24"/>
        </w:rPr>
        <w:t xml:space="preserve"> rely for their data is employed as the standard for the SWIID. Most likely, the generous public pensions provided in Nordic and Continental countries explain the discrepancy, since they reduce incentives to save for retirement, biasing levels of market inequality upwards (Kenworthy and Pontusson 2005, 463). </w:t>
      </w:r>
    </w:p>
  </w:footnote>
  <w:footnote w:id="10">
    <w:p w14:paraId="0F6131C5" w14:textId="77777777" w:rsidR="006C5FBA" w:rsidRPr="001A3D79" w:rsidRDefault="006C5FBA" w:rsidP="007D6F95">
      <w:pPr>
        <w:pStyle w:val="FootnoteText"/>
        <w:spacing w:line="480" w:lineRule="auto"/>
        <w:jc w:val="both"/>
        <w:rPr>
          <w:sz w:val="24"/>
          <w:szCs w:val="24"/>
        </w:rPr>
      </w:pPr>
      <w:r w:rsidRPr="001A3D79">
        <w:rPr>
          <w:rStyle w:val="FootnoteReference"/>
          <w:sz w:val="24"/>
          <w:szCs w:val="24"/>
        </w:rPr>
        <w:footnoteRef/>
      </w:r>
      <w:r w:rsidRPr="001A3D79">
        <w:rPr>
          <w:sz w:val="24"/>
          <w:szCs w:val="24"/>
        </w:rPr>
        <w:t xml:space="preserve"> We downloaded these variables from Visser’s (201</w:t>
      </w:r>
      <w:r>
        <w:rPr>
          <w:sz w:val="24"/>
          <w:szCs w:val="24"/>
        </w:rPr>
        <w:t>6</w:t>
      </w:r>
      <w:r w:rsidRPr="001A3D79">
        <w:rPr>
          <w:sz w:val="24"/>
          <w:szCs w:val="24"/>
        </w:rPr>
        <w:t>) database on labor market outcomes. Corporatism refers to the level of collective bargaining, which ranges from the company (1) to the national level (5), and union density to “</w:t>
      </w:r>
      <w:r w:rsidRPr="005C7A50">
        <w:rPr>
          <w:sz w:val="24"/>
          <w:szCs w:val="24"/>
        </w:rPr>
        <w:t>net unio</w:t>
      </w:r>
      <w:r>
        <w:rPr>
          <w:sz w:val="24"/>
          <w:szCs w:val="24"/>
        </w:rPr>
        <w:t xml:space="preserve">n membership as a proportion of </w:t>
      </w:r>
      <w:r w:rsidRPr="005C7A50">
        <w:rPr>
          <w:sz w:val="24"/>
          <w:szCs w:val="24"/>
        </w:rPr>
        <w:t>wage earners in employment</w:t>
      </w:r>
      <w:r w:rsidRPr="001A3D79">
        <w:rPr>
          <w:sz w:val="24"/>
          <w:szCs w:val="24"/>
        </w:rPr>
        <w:t xml:space="preserve">”. See the ICTWSS database codebook, page 3, available at </w:t>
      </w:r>
      <w:hyperlink r:id="rId1" w:history="1">
        <w:r w:rsidRPr="005C7A50">
          <w:rPr>
            <w:rStyle w:val="Hyperlink"/>
            <w:sz w:val="24"/>
            <w:szCs w:val="24"/>
          </w:rPr>
          <w:t>https://aias.s3-eu-central-1.amazonaws.com/website/uploads/1475058325774ICTWSS-Codebook_Version-5.1_20160926.pdf</w:t>
        </w:r>
      </w:hyperlink>
      <w:r>
        <w:t xml:space="preserve"> </w:t>
      </w:r>
      <w:r w:rsidRPr="001A3D79">
        <w:rPr>
          <w:sz w:val="24"/>
          <w:szCs w:val="24"/>
        </w:rPr>
        <w:t xml:space="preserve">. In the most recent version of the dataset, </w:t>
      </w:r>
      <w:r>
        <w:rPr>
          <w:sz w:val="24"/>
          <w:szCs w:val="24"/>
        </w:rPr>
        <w:t>99</w:t>
      </w:r>
      <w:r w:rsidRPr="001A3D79">
        <w:rPr>
          <w:sz w:val="24"/>
          <w:szCs w:val="24"/>
        </w:rPr>
        <w:t xml:space="preserve"> observations for union density that had positive values in prior version</w:t>
      </w:r>
      <w:r>
        <w:rPr>
          <w:sz w:val="24"/>
          <w:szCs w:val="24"/>
        </w:rPr>
        <w:t>s</w:t>
      </w:r>
      <w:r w:rsidRPr="001A3D79">
        <w:rPr>
          <w:sz w:val="24"/>
          <w:szCs w:val="24"/>
        </w:rPr>
        <w:t xml:space="preserve"> are lacking information. Since </w:t>
      </w:r>
      <w:r>
        <w:rPr>
          <w:sz w:val="24"/>
          <w:szCs w:val="24"/>
        </w:rPr>
        <w:t>t</w:t>
      </w:r>
      <w:r w:rsidRPr="001A3D79">
        <w:rPr>
          <w:sz w:val="24"/>
          <w:szCs w:val="24"/>
        </w:rPr>
        <w:t xml:space="preserve">his accounts for only </w:t>
      </w:r>
      <w:r>
        <w:rPr>
          <w:sz w:val="24"/>
          <w:szCs w:val="24"/>
        </w:rPr>
        <w:t>5.85</w:t>
      </w:r>
      <w:r w:rsidRPr="001A3D79">
        <w:rPr>
          <w:sz w:val="24"/>
          <w:szCs w:val="24"/>
        </w:rPr>
        <w:t xml:space="preserve">% of the observations for the variable, we </w:t>
      </w:r>
      <w:r>
        <w:rPr>
          <w:sz w:val="24"/>
          <w:szCs w:val="24"/>
        </w:rPr>
        <w:t>fill</w:t>
      </w:r>
      <w:r w:rsidRPr="001A3D79">
        <w:rPr>
          <w:sz w:val="24"/>
          <w:szCs w:val="24"/>
        </w:rPr>
        <w:t xml:space="preserve"> in the missing observations with </w:t>
      </w:r>
      <w:r>
        <w:rPr>
          <w:sz w:val="24"/>
          <w:szCs w:val="24"/>
        </w:rPr>
        <w:t>a similar version of the variable derived from household surveys as opposed to union reports</w:t>
      </w:r>
      <w:r w:rsidRPr="001A3D79">
        <w:rPr>
          <w:sz w:val="24"/>
          <w:szCs w:val="24"/>
        </w:rPr>
        <w:t>.</w:t>
      </w:r>
      <w:r>
        <w:rPr>
          <w:sz w:val="24"/>
          <w:szCs w:val="24"/>
        </w:rPr>
        <w:t xml:space="preserve"> We thank Jelle Visser for pointing this alternative indicator out to us</w:t>
      </w:r>
      <w:r w:rsidRPr="001A3D79">
        <w:rPr>
          <w:sz w:val="24"/>
          <w:szCs w:val="24"/>
        </w:rPr>
        <w:t xml:space="preserve">.  </w:t>
      </w:r>
    </w:p>
  </w:footnote>
  <w:footnote w:id="11">
    <w:p w14:paraId="1EBF17A8" w14:textId="11D78D54" w:rsidR="006C5FBA" w:rsidRPr="001A3D79" w:rsidRDefault="006C5FBA" w:rsidP="001A3D79">
      <w:pPr>
        <w:pStyle w:val="FootnoteText"/>
        <w:spacing w:line="480" w:lineRule="auto"/>
        <w:jc w:val="both"/>
        <w:rPr>
          <w:sz w:val="24"/>
          <w:szCs w:val="24"/>
        </w:rPr>
      </w:pPr>
      <w:r w:rsidRPr="001A3D79">
        <w:rPr>
          <w:rStyle w:val="FootnoteReference"/>
          <w:sz w:val="24"/>
          <w:szCs w:val="24"/>
        </w:rPr>
        <w:footnoteRef/>
      </w:r>
      <w:r w:rsidRPr="001A3D79">
        <w:rPr>
          <w:sz w:val="24"/>
          <w:szCs w:val="24"/>
        </w:rPr>
        <w:t xml:space="preserve"> Note, however, that this index does not include subnational veto players such as federalism. The dependent variable, redistribution, takes into account income redistributed regardless of what level of government engages in this redistribution. Federalism is also indirectly reflected in the polconiii index in two ways: federalist democracies tend to have more decentralized politic</w:t>
      </w:r>
      <w:r>
        <w:rPr>
          <w:sz w:val="24"/>
          <w:szCs w:val="24"/>
        </w:rPr>
        <w:t>al parties (Gerring and Thacker</w:t>
      </w:r>
      <w:r w:rsidRPr="001A3D79">
        <w:rPr>
          <w:sz w:val="24"/>
          <w:szCs w:val="24"/>
        </w:rPr>
        <w:t xml:space="preserve"> 2008), making national level parties less ideologically cohesive. Secondly, federalism is usually reflected in the design of the legislature, in particular the upper chamber. </w:t>
      </w:r>
    </w:p>
  </w:footnote>
  <w:footnote w:id="12">
    <w:p w14:paraId="23FB3E48" w14:textId="05317A3B" w:rsidR="006C5FBA" w:rsidRPr="003E61A9" w:rsidRDefault="006C5FBA" w:rsidP="007D6F95">
      <w:pPr>
        <w:pStyle w:val="FootnoteText"/>
        <w:spacing w:line="480" w:lineRule="auto"/>
        <w:jc w:val="both"/>
        <w:rPr>
          <w:sz w:val="24"/>
          <w:szCs w:val="24"/>
        </w:rPr>
      </w:pPr>
      <w:r w:rsidRPr="001A3D79">
        <w:rPr>
          <w:rStyle w:val="FootnoteReference"/>
          <w:sz w:val="24"/>
          <w:szCs w:val="24"/>
        </w:rPr>
        <w:footnoteRef/>
      </w:r>
      <w:r w:rsidRPr="001A3D79">
        <w:rPr>
          <w:sz w:val="24"/>
          <w:szCs w:val="24"/>
        </w:rPr>
        <w:t xml:space="preserve"> </w:t>
      </w:r>
      <w:r w:rsidRPr="003E61A9">
        <w:rPr>
          <w:sz w:val="24"/>
          <w:szCs w:val="24"/>
        </w:rPr>
        <w:t>The fiscal contract theory claims, for example, that parties tax their bases of support intensely while also providing those groups with more services (Timmons 2005).</w:t>
      </w:r>
      <w:r>
        <w:rPr>
          <w:sz w:val="24"/>
          <w:szCs w:val="24"/>
        </w:rPr>
        <w:t xml:space="preserve"> </w:t>
      </w:r>
      <w:r w:rsidRPr="003E61A9">
        <w:rPr>
          <w:sz w:val="24"/>
          <w:szCs w:val="24"/>
        </w:rPr>
        <w:t xml:space="preserve">Left governments, at least in the OECD, thus rely more on consumption and labor taxes that are borne disproportionately by the less well-off (see also Beramendi and Rehm 2016). </w:t>
      </w:r>
      <w:r>
        <w:rPr>
          <w:sz w:val="24"/>
          <w:szCs w:val="24"/>
        </w:rPr>
        <w:t>This</w:t>
      </w:r>
      <w:r w:rsidRPr="001A3D79">
        <w:rPr>
          <w:sz w:val="24"/>
          <w:szCs w:val="24"/>
        </w:rPr>
        <w:t xml:space="preserve"> approach explains variation across governments in </w:t>
      </w:r>
      <w:r>
        <w:rPr>
          <w:sz w:val="24"/>
          <w:szCs w:val="24"/>
        </w:rPr>
        <w:t>income redistribution</w:t>
      </w:r>
      <w:r w:rsidRPr="001A3D79">
        <w:rPr>
          <w:sz w:val="24"/>
          <w:szCs w:val="24"/>
        </w:rPr>
        <w:t xml:space="preserve"> better than the median</w:t>
      </w:r>
      <w:r w:rsidR="00F15C74">
        <w:rPr>
          <w:sz w:val="24"/>
          <w:szCs w:val="24"/>
        </w:rPr>
        <w:t>-</w:t>
      </w:r>
      <w:r w:rsidRPr="001A3D79">
        <w:rPr>
          <w:sz w:val="24"/>
          <w:szCs w:val="24"/>
        </w:rPr>
        <w:t>voter theorem. As many have observed, if politicians and parties compete for the median voter using redistributive policies, parties would tack to the center in their platforms (Iversen 2010, 186</w:t>
      </w:r>
      <w:r w:rsidRPr="003E61A9">
        <w:rPr>
          <w:sz w:val="24"/>
          <w:szCs w:val="24"/>
        </w:rPr>
        <w:t xml:space="preserve">). </w:t>
      </w:r>
      <w:r>
        <w:rPr>
          <w:sz w:val="24"/>
          <w:szCs w:val="24"/>
        </w:rPr>
        <w:t>Parties that differ very little in their redistributive platforms, however,</w:t>
      </w:r>
      <w:r w:rsidRPr="003E61A9">
        <w:rPr>
          <w:sz w:val="24"/>
          <w:szCs w:val="24"/>
        </w:rPr>
        <w:t xml:space="preserve"> is not what we observe in the party systems of many democracies (Pontusson and Rueda 2010).</w:t>
      </w:r>
    </w:p>
  </w:footnote>
  <w:footnote w:id="13">
    <w:p w14:paraId="7891171C" w14:textId="354B3F45" w:rsidR="006C5FBA" w:rsidRPr="001A3D79" w:rsidRDefault="006C5FBA" w:rsidP="008F798E">
      <w:pPr>
        <w:spacing w:line="480" w:lineRule="auto"/>
        <w:jc w:val="both"/>
        <w:rPr>
          <w:lang w:eastAsia="ko-KR"/>
        </w:rPr>
      </w:pPr>
      <w:r w:rsidRPr="001A3D79">
        <w:rPr>
          <w:rStyle w:val="FootnoteReference"/>
        </w:rPr>
        <w:footnoteRef/>
      </w:r>
      <w:r w:rsidRPr="001A3D79">
        <w:t xml:space="preserve"> </w:t>
      </w:r>
      <w:r w:rsidRPr="001A3D79">
        <w:rPr>
          <w:lang w:eastAsia="ko-KR"/>
        </w:rPr>
        <w:t>Some sch</w:t>
      </w:r>
      <w:r>
        <w:rPr>
          <w:lang w:eastAsia="ko-KR"/>
        </w:rPr>
        <w:t>olars (for example, Iversen and Soskice</w:t>
      </w:r>
      <w:r w:rsidRPr="001A3D79">
        <w:rPr>
          <w:lang w:eastAsia="ko-KR"/>
        </w:rPr>
        <w:t xml:space="preserve"> 2006) have claimed that electoral systems, proportional representation (PR) and single member plurality in particular, shape the composition of government coalitions and hence redistribution. Since these institutions also shape the ideology of political parties, we do not include information on institutional characteristics in our models. </w:t>
      </w:r>
    </w:p>
  </w:footnote>
  <w:footnote w:id="14">
    <w:p w14:paraId="71308DE5" w14:textId="2E60D0D0" w:rsidR="006C5FBA" w:rsidRPr="005979C5" w:rsidRDefault="006C5FBA" w:rsidP="005979C5">
      <w:pPr>
        <w:pStyle w:val="FootnoteText"/>
        <w:spacing w:line="480" w:lineRule="auto"/>
        <w:rPr>
          <w:sz w:val="24"/>
          <w:szCs w:val="24"/>
        </w:rPr>
      </w:pPr>
      <w:r w:rsidRPr="005979C5">
        <w:rPr>
          <w:rStyle w:val="FootnoteReference"/>
          <w:sz w:val="24"/>
          <w:szCs w:val="24"/>
        </w:rPr>
        <w:footnoteRef/>
      </w:r>
      <w:r w:rsidRPr="005979C5">
        <w:rPr>
          <w:sz w:val="24"/>
          <w:szCs w:val="24"/>
        </w:rPr>
        <w:t xml:space="preserve"> </w:t>
      </w:r>
      <w:r>
        <w:rPr>
          <w:sz w:val="24"/>
          <w:szCs w:val="24"/>
        </w:rPr>
        <w:t xml:space="preserve">For the United States, </w:t>
      </w:r>
      <w:r>
        <w:rPr>
          <w:sz w:val="24"/>
          <w:szCs w:val="24"/>
          <w:lang w:eastAsia="ko-KR"/>
        </w:rPr>
        <w:t>w</w:t>
      </w:r>
      <w:r w:rsidRPr="005979C5">
        <w:rPr>
          <w:sz w:val="24"/>
          <w:szCs w:val="24"/>
          <w:lang w:eastAsia="ko-KR"/>
        </w:rPr>
        <w:t xml:space="preserve">e rely on Michael McDonald’s data </w:t>
      </w:r>
      <w:r>
        <w:rPr>
          <w:sz w:val="24"/>
          <w:szCs w:val="24"/>
          <w:lang w:eastAsia="ko-KR"/>
        </w:rPr>
        <w:t>(</w:t>
      </w:r>
      <w:hyperlink r:id="rId2" w:history="1">
        <w:r w:rsidRPr="00F93513">
          <w:rPr>
            <w:rStyle w:val="Hyperlink"/>
            <w:sz w:val="24"/>
            <w:szCs w:val="24"/>
            <w:lang w:eastAsia="ko-KR"/>
          </w:rPr>
          <w:t>http://www.electproject.org/national-1789-present</w:t>
        </w:r>
      </w:hyperlink>
      <w:r>
        <w:rPr>
          <w:sz w:val="24"/>
          <w:szCs w:val="24"/>
          <w:lang w:eastAsia="ko-KR"/>
        </w:rPr>
        <w:t>) s</w:t>
      </w:r>
      <w:r w:rsidRPr="005979C5">
        <w:rPr>
          <w:sz w:val="24"/>
          <w:szCs w:val="24"/>
          <w:lang w:eastAsia="ko-KR"/>
        </w:rPr>
        <w:t xml:space="preserve">ince </w:t>
      </w:r>
      <w:r>
        <w:rPr>
          <w:sz w:val="24"/>
          <w:szCs w:val="24"/>
          <w:lang w:eastAsia="ko-KR"/>
        </w:rPr>
        <w:t xml:space="preserve">voter </w:t>
      </w:r>
      <w:r w:rsidRPr="005979C5">
        <w:rPr>
          <w:sz w:val="24"/>
          <w:szCs w:val="24"/>
          <w:lang w:eastAsia="ko-KR"/>
        </w:rPr>
        <w:t>registration is voluntary</w:t>
      </w:r>
      <w:r>
        <w:rPr>
          <w:sz w:val="24"/>
          <w:szCs w:val="24"/>
          <w:lang w:eastAsia="ko-KR"/>
        </w:rPr>
        <w:t xml:space="preserve"> there, resulting in many voters</w:t>
      </w:r>
      <w:r w:rsidRPr="005979C5">
        <w:rPr>
          <w:sz w:val="24"/>
          <w:szCs w:val="24"/>
          <w:lang w:eastAsia="ko-KR"/>
        </w:rPr>
        <w:t xml:space="preserve"> </w:t>
      </w:r>
      <w:r>
        <w:rPr>
          <w:sz w:val="24"/>
          <w:szCs w:val="24"/>
          <w:lang w:eastAsia="ko-KR"/>
        </w:rPr>
        <w:t xml:space="preserve">being eligible but not actually </w:t>
      </w:r>
      <w:r w:rsidRPr="005979C5">
        <w:rPr>
          <w:sz w:val="24"/>
          <w:szCs w:val="24"/>
          <w:lang w:eastAsia="ko-KR"/>
        </w:rPr>
        <w:t>register</w:t>
      </w:r>
      <w:r>
        <w:rPr>
          <w:sz w:val="24"/>
          <w:szCs w:val="24"/>
          <w:lang w:eastAsia="ko-KR"/>
        </w:rPr>
        <w:t xml:space="preserve">ed to vote. </w:t>
      </w:r>
    </w:p>
  </w:footnote>
  <w:footnote w:id="15">
    <w:p w14:paraId="6EC08CCA" w14:textId="77777777" w:rsidR="006C5FBA" w:rsidRPr="00357D42" w:rsidRDefault="006C5FBA" w:rsidP="002344F4">
      <w:pPr>
        <w:pStyle w:val="FootnoteText"/>
        <w:spacing w:line="480" w:lineRule="auto"/>
        <w:jc w:val="both"/>
        <w:rPr>
          <w:sz w:val="24"/>
          <w:szCs w:val="24"/>
        </w:rPr>
      </w:pPr>
      <w:r w:rsidRPr="00357D42">
        <w:rPr>
          <w:rStyle w:val="FootnoteReference"/>
          <w:sz w:val="24"/>
          <w:szCs w:val="24"/>
        </w:rPr>
        <w:footnoteRef/>
      </w:r>
      <w:r w:rsidRPr="00357D42">
        <w:rPr>
          <w:sz w:val="24"/>
          <w:szCs w:val="24"/>
        </w:rPr>
        <w:t xml:space="preserve"> We exclude this variable from the first two series of models (see below) since we also </w:t>
      </w:r>
      <w:r>
        <w:rPr>
          <w:sz w:val="24"/>
          <w:szCs w:val="24"/>
        </w:rPr>
        <w:t>include</w:t>
      </w:r>
      <w:r w:rsidRPr="00357D42">
        <w:rPr>
          <w:sz w:val="24"/>
          <w:szCs w:val="24"/>
        </w:rPr>
        <w:t xml:space="preserve"> the level of economic development in equations where dynamics are modeled with fixed effects. In this context, economic growth </w:t>
      </w:r>
      <w:r>
        <w:rPr>
          <w:sz w:val="24"/>
          <w:szCs w:val="24"/>
        </w:rPr>
        <w:t xml:space="preserve">(if expressed in real terms) </w:t>
      </w:r>
      <w:r w:rsidRPr="00357D42">
        <w:rPr>
          <w:sz w:val="24"/>
          <w:szCs w:val="24"/>
        </w:rPr>
        <w:t>is equivalent to the change in levels of development</w:t>
      </w:r>
      <w:r>
        <w:rPr>
          <w:sz w:val="24"/>
          <w:szCs w:val="24"/>
        </w:rPr>
        <w:t xml:space="preserve"> from one year to the next</w:t>
      </w:r>
      <w:r w:rsidRPr="00357D42">
        <w:rPr>
          <w:sz w:val="24"/>
          <w:szCs w:val="24"/>
        </w:rPr>
        <w:t xml:space="preserve">. </w:t>
      </w:r>
    </w:p>
  </w:footnote>
  <w:footnote w:id="16">
    <w:p w14:paraId="6BE6124C" w14:textId="77777777" w:rsidR="006C5FBA" w:rsidRPr="001A3D79" w:rsidRDefault="006C5FBA" w:rsidP="001A3D79">
      <w:pPr>
        <w:pStyle w:val="FootnoteText"/>
        <w:spacing w:line="480" w:lineRule="auto"/>
        <w:jc w:val="both"/>
        <w:rPr>
          <w:sz w:val="24"/>
          <w:szCs w:val="24"/>
        </w:rPr>
      </w:pPr>
      <w:r w:rsidRPr="001A3D79">
        <w:rPr>
          <w:rStyle w:val="FootnoteReference"/>
          <w:sz w:val="24"/>
          <w:szCs w:val="24"/>
        </w:rPr>
        <w:footnoteRef/>
      </w:r>
      <w:r w:rsidRPr="001A3D79">
        <w:rPr>
          <w:sz w:val="24"/>
          <w:szCs w:val="24"/>
        </w:rPr>
        <w:t xml:space="preserve"> Transformations of the independent variables to account for cluster confounding should also correct for other violations of regression assumptions (Bartels 2015).</w:t>
      </w:r>
    </w:p>
  </w:footnote>
  <w:footnote w:id="17">
    <w:p w14:paraId="5B4553A0" w14:textId="77777777" w:rsidR="006C5FBA" w:rsidRPr="001A3D79" w:rsidRDefault="006C5FBA" w:rsidP="00B24987">
      <w:pPr>
        <w:pStyle w:val="FootnoteText"/>
        <w:spacing w:line="480" w:lineRule="auto"/>
        <w:jc w:val="both"/>
        <w:rPr>
          <w:sz w:val="24"/>
          <w:szCs w:val="24"/>
        </w:rPr>
      </w:pPr>
      <w:r w:rsidRPr="001A3D79">
        <w:rPr>
          <w:rStyle w:val="FootnoteReference"/>
          <w:sz w:val="24"/>
          <w:szCs w:val="24"/>
        </w:rPr>
        <w:footnoteRef/>
      </w:r>
      <w:r w:rsidRPr="001A3D79">
        <w:rPr>
          <w:sz w:val="24"/>
          <w:szCs w:val="24"/>
        </w:rPr>
        <w:t xml:space="preserve"> </w:t>
      </w:r>
      <w:r>
        <w:rPr>
          <w:sz w:val="24"/>
          <w:szCs w:val="24"/>
        </w:rPr>
        <w:t xml:space="preserve">Because </w:t>
      </w:r>
      <w:r w:rsidRPr="003A7916">
        <w:rPr>
          <w:sz w:val="24"/>
          <w:szCs w:val="24"/>
        </w:rPr>
        <w:t>unemployment</w:t>
      </w:r>
      <w:r>
        <w:rPr>
          <w:sz w:val="24"/>
          <w:szCs w:val="24"/>
        </w:rPr>
        <w:t xml:space="preserve"> could also be to some extent endogenous to redistribution</w:t>
      </w:r>
      <w:r w:rsidRPr="001A3D79">
        <w:rPr>
          <w:sz w:val="24"/>
          <w:szCs w:val="24"/>
        </w:rPr>
        <w:t>, we use the first lags of unemployment in place of their contemporaneous values.</w:t>
      </w:r>
      <w:r>
        <w:rPr>
          <w:sz w:val="24"/>
          <w:szCs w:val="24"/>
        </w:rPr>
        <w:t xml:space="preserve"> </w:t>
      </w:r>
    </w:p>
  </w:footnote>
  <w:footnote w:id="18">
    <w:p w14:paraId="68E00674" w14:textId="47ACEA5B" w:rsidR="006C5FBA" w:rsidRPr="0001334D" w:rsidRDefault="006C5FBA" w:rsidP="00B24987">
      <w:pPr>
        <w:pStyle w:val="FootnoteText"/>
        <w:spacing w:line="480" w:lineRule="auto"/>
        <w:rPr>
          <w:sz w:val="24"/>
          <w:szCs w:val="24"/>
        </w:rPr>
      </w:pPr>
      <w:r w:rsidRPr="00627B0D">
        <w:rPr>
          <w:rStyle w:val="FootnoteReference"/>
          <w:sz w:val="24"/>
          <w:szCs w:val="24"/>
        </w:rPr>
        <w:footnoteRef/>
      </w:r>
      <w:r w:rsidRPr="00627B0D">
        <w:rPr>
          <w:sz w:val="24"/>
          <w:szCs w:val="24"/>
        </w:rPr>
        <w:t xml:space="preserve"> We are not able to include the variable </w:t>
      </w:r>
      <w:r w:rsidRPr="00627B0D">
        <w:rPr>
          <w:i/>
          <w:sz w:val="24"/>
          <w:szCs w:val="24"/>
        </w:rPr>
        <w:t xml:space="preserve">exports </w:t>
      </w:r>
      <w:r w:rsidRPr="00627B0D">
        <w:rPr>
          <w:sz w:val="24"/>
          <w:szCs w:val="24"/>
        </w:rPr>
        <w:t xml:space="preserve">in the first two instrumental variables specifications as this makes the instruments invalid. Of the globalization variables, however, the one we are most interested in because of its potential compensatory effects is </w:t>
      </w:r>
      <w:r w:rsidRPr="00627B0D">
        <w:rPr>
          <w:i/>
          <w:sz w:val="24"/>
          <w:szCs w:val="24"/>
        </w:rPr>
        <w:t>imports</w:t>
      </w:r>
      <w:r w:rsidRPr="00627B0D">
        <w:rPr>
          <w:sz w:val="24"/>
          <w:szCs w:val="24"/>
        </w:rPr>
        <w:t>.</w:t>
      </w:r>
      <w:r w:rsidRPr="0001334D">
        <w:rPr>
          <w:sz w:val="24"/>
          <w:szCs w:val="24"/>
        </w:rPr>
        <w:t xml:space="preserve"> </w:t>
      </w:r>
    </w:p>
  </w:footnote>
  <w:footnote w:id="19">
    <w:p w14:paraId="7458E39E" w14:textId="77777777" w:rsidR="006C5FBA" w:rsidRPr="00095489" w:rsidRDefault="006C5FBA" w:rsidP="002344F4">
      <w:pPr>
        <w:pStyle w:val="FootnoteText"/>
        <w:spacing w:line="480" w:lineRule="auto"/>
        <w:jc w:val="both"/>
        <w:rPr>
          <w:sz w:val="24"/>
          <w:szCs w:val="24"/>
        </w:rPr>
      </w:pPr>
      <w:r w:rsidRPr="00095489">
        <w:rPr>
          <w:rStyle w:val="FootnoteReference"/>
          <w:sz w:val="24"/>
          <w:szCs w:val="24"/>
        </w:rPr>
        <w:footnoteRef/>
      </w:r>
      <w:r w:rsidRPr="00095489">
        <w:rPr>
          <w:sz w:val="24"/>
          <w:szCs w:val="24"/>
        </w:rPr>
        <w:t xml:space="preserve"> </w:t>
      </w:r>
      <w:r>
        <w:rPr>
          <w:sz w:val="24"/>
          <w:szCs w:val="24"/>
        </w:rPr>
        <w:t>E</w:t>
      </w:r>
      <w:r w:rsidRPr="00095489">
        <w:rPr>
          <w:sz w:val="24"/>
          <w:szCs w:val="24"/>
        </w:rPr>
        <w:t xml:space="preserve">ndogeneity in the case of </w:t>
      </w:r>
      <w:r w:rsidRPr="00C25A5C">
        <w:rPr>
          <w:i/>
          <w:sz w:val="24"/>
          <w:szCs w:val="24"/>
        </w:rPr>
        <w:t>lagged redistribution</w:t>
      </w:r>
      <w:r w:rsidRPr="00095489">
        <w:rPr>
          <w:sz w:val="24"/>
          <w:szCs w:val="24"/>
        </w:rPr>
        <w:t xml:space="preserve"> does not imply reciprocal causation, but that the variable is “correlated with past an</w:t>
      </w:r>
      <w:r>
        <w:rPr>
          <w:sz w:val="24"/>
          <w:szCs w:val="24"/>
        </w:rPr>
        <w:t>d possibly current realizations of the error”. (Roodman 2009, 86).</w:t>
      </w:r>
    </w:p>
  </w:footnote>
  <w:footnote w:id="20">
    <w:p w14:paraId="112127E7" w14:textId="646D9733" w:rsidR="006C5FBA" w:rsidRPr="001A3D79" w:rsidRDefault="006C5FBA" w:rsidP="001A3D79">
      <w:pPr>
        <w:pStyle w:val="FootnoteText"/>
        <w:spacing w:line="480" w:lineRule="auto"/>
        <w:jc w:val="both"/>
        <w:rPr>
          <w:sz w:val="24"/>
          <w:szCs w:val="24"/>
        </w:rPr>
      </w:pPr>
      <w:r w:rsidRPr="001A3D79">
        <w:rPr>
          <w:rStyle w:val="FootnoteReference"/>
          <w:sz w:val="24"/>
          <w:szCs w:val="24"/>
        </w:rPr>
        <w:footnoteRef/>
      </w:r>
      <w:r w:rsidRPr="001A3D79">
        <w:rPr>
          <w:sz w:val="24"/>
          <w:szCs w:val="24"/>
        </w:rPr>
        <w:t xml:space="preserve"> According </w:t>
      </w:r>
      <w:r>
        <w:rPr>
          <w:sz w:val="24"/>
          <w:szCs w:val="24"/>
        </w:rPr>
        <w:t xml:space="preserve">to </w:t>
      </w:r>
      <w:r w:rsidRPr="001A3D79">
        <w:rPr>
          <w:sz w:val="24"/>
          <w:szCs w:val="24"/>
        </w:rPr>
        <w:t xml:space="preserve">Bazzi and Clemens (2013, 166), because of concerns with weak instruments in the difference estimator, </w:t>
      </w:r>
      <w:r w:rsidR="008757EF">
        <w:rPr>
          <w:sz w:val="24"/>
          <w:szCs w:val="24"/>
        </w:rPr>
        <w:t xml:space="preserve">practitioners now consider </w:t>
      </w:r>
      <w:r w:rsidRPr="001A3D79">
        <w:rPr>
          <w:sz w:val="24"/>
          <w:szCs w:val="24"/>
        </w:rPr>
        <w:t xml:space="preserve">the system estimator the default. </w:t>
      </w:r>
    </w:p>
  </w:footnote>
  <w:footnote w:id="21">
    <w:p w14:paraId="01E65EF0" w14:textId="6D5EBC6A" w:rsidR="006C5FBA" w:rsidRPr="00697B17" w:rsidRDefault="006C5FBA" w:rsidP="00AD5333">
      <w:pPr>
        <w:pStyle w:val="FootnoteText"/>
        <w:spacing w:line="480" w:lineRule="auto"/>
        <w:rPr>
          <w:sz w:val="24"/>
          <w:szCs w:val="24"/>
        </w:rPr>
      </w:pPr>
      <w:r w:rsidRPr="00697B17">
        <w:rPr>
          <w:rStyle w:val="FootnoteReference"/>
          <w:sz w:val="24"/>
          <w:szCs w:val="24"/>
        </w:rPr>
        <w:footnoteRef/>
      </w:r>
      <w:r w:rsidRPr="00697B17">
        <w:rPr>
          <w:sz w:val="24"/>
          <w:szCs w:val="24"/>
        </w:rPr>
        <w:t xml:space="preserve"> </w:t>
      </w:r>
      <w:r w:rsidR="008757EF">
        <w:rPr>
          <w:sz w:val="24"/>
          <w:szCs w:val="24"/>
        </w:rPr>
        <w:t xml:space="preserve">Parties of the left tend to </w:t>
      </w:r>
      <w:r w:rsidR="001D01DF">
        <w:rPr>
          <w:sz w:val="24"/>
          <w:szCs w:val="24"/>
        </w:rPr>
        <w:t>govern</w:t>
      </w:r>
      <w:r w:rsidR="008757EF">
        <w:rPr>
          <w:sz w:val="24"/>
          <w:szCs w:val="24"/>
        </w:rPr>
        <w:t xml:space="preserve"> in </w:t>
      </w:r>
      <w:r w:rsidRPr="00697B17">
        <w:rPr>
          <w:sz w:val="24"/>
          <w:szCs w:val="24"/>
          <w:lang w:eastAsia="ko-KR"/>
        </w:rPr>
        <w:t>DCs with generous welfare states (</w:t>
      </w:r>
      <w:r>
        <w:rPr>
          <w:sz w:val="24"/>
          <w:szCs w:val="24"/>
          <w:lang w:eastAsia="ko-KR"/>
        </w:rPr>
        <w:t>for example,</w:t>
      </w:r>
      <w:r w:rsidRPr="00697B17">
        <w:rPr>
          <w:sz w:val="24"/>
          <w:szCs w:val="24"/>
          <w:lang w:eastAsia="ko-KR"/>
        </w:rPr>
        <w:t xml:space="preserve"> Iversen 2005)</w:t>
      </w:r>
    </w:p>
  </w:footnote>
  <w:footnote w:id="22">
    <w:p w14:paraId="05E30EDA" w14:textId="544F336E" w:rsidR="006C5FBA" w:rsidRPr="00806080" w:rsidRDefault="006C5FBA" w:rsidP="009A4B30">
      <w:pPr>
        <w:pStyle w:val="FootnoteText"/>
        <w:spacing w:line="480" w:lineRule="auto"/>
        <w:jc w:val="both"/>
        <w:rPr>
          <w:color w:val="222222"/>
          <w:sz w:val="24"/>
          <w:szCs w:val="24"/>
          <w:shd w:val="clear" w:color="auto" w:fill="FFFFFF"/>
        </w:rPr>
      </w:pPr>
      <w:r w:rsidRPr="00346950">
        <w:rPr>
          <w:rStyle w:val="FootnoteReference"/>
          <w:sz w:val="24"/>
          <w:szCs w:val="24"/>
        </w:rPr>
        <w:footnoteRef/>
      </w:r>
      <w:r w:rsidRPr="00346950">
        <w:rPr>
          <w:sz w:val="24"/>
          <w:szCs w:val="24"/>
        </w:rPr>
        <w:t xml:space="preserve"> </w:t>
      </w:r>
      <w:r>
        <w:rPr>
          <w:color w:val="222222"/>
          <w:sz w:val="24"/>
          <w:szCs w:val="24"/>
          <w:shd w:val="clear" w:color="auto" w:fill="FFFFFF"/>
        </w:rPr>
        <w:t>Lebo and Kraft</w:t>
      </w:r>
      <w:r w:rsidRPr="00346950">
        <w:rPr>
          <w:color w:val="222222"/>
          <w:sz w:val="24"/>
          <w:szCs w:val="24"/>
          <w:shd w:val="clear" w:color="auto" w:fill="FFFFFF"/>
        </w:rPr>
        <w:t xml:space="preserve"> (</w:t>
      </w:r>
      <w:r>
        <w:rPr>
          <w:color w:val="222222"/>
          <w:sz w:val="24"/>
          <w:szCs w:val="24"/>
          <w:shd w:val="clear" w:color="auto" w:fill="FFFFFF"/>
        </w:rPr>
        <w:t>forthcoming</w:t>
      </w:r>
      <w:r w:rsidRPr="00346950">
        <w:rPr>
          <w:color w:val="222222"/>
          <w:sz w:val="24"/>
          <w:szCs w:val="24"/>
          <w:shd w:val="clear" w:color="auto" w:fill="FFFFFF"/>
        </w:rPr>
        <w:t xml:space="preserve">) </w:t>
      </w:r>
      <w:r>
        <w:rPr>
          <w:color w:val="222222"/>
          <w:sz w:val="24"/>
          <w:szCs w:val="24"/>
          <w:shd w:val="clear" w:color="auto" w:fill="FFFFFF"/>
        </w:rPr>
        <w:t xml:space="preserve">claim </w:t>
      </w:r>
      <w:r w:rsidRPr="00346950">
        <w:rPr>
          <w:color w:val="222222"/>
          <w:sz w:val="24"/>
          <w:szCs w:val="24"/>
          <w:shd w:val="clear" w:color="auto" w:fill="FFFFFF"/>
        </w:rPr>
        <w:t>long-run-multipliers are unreliable</w:t>
      </w:r>
      <w:r>
        <w:rPr>
          <w:color w:val="222222"/>
          <w:sz w:val="24"/>
          <w:szCs w:val="24"/>
          <w:shd w:val="clear" w:color="auto" w:fill="FFFFFF"/>
        </w:rPr>
        <w:t xml:space="preserve"> and </w:t>
      </w:r>
      <w:r w:rsidRPr="00346950">
        <w:rPr>
          <w:color w:val="222222"/>
          <w:sz w:val="24"/>
          <w:szCs w:val="24"/>
          <w:shd w:val="clear" w:color="auto" w:fill="FFFFFF"/>
        </w:rPr>
        <w:t xml:space="preserve">the coefficient on the lagged </w:t>
      </w:r>
      <w:r>
        <w:rPr>
          <w:color w:val="222222"/>
          <w:sz w:val="24"/>
          <w:szCs w:val="24"/>
          <w:shd w:val="clear" w:color="auto" w:fill="FFFFFF"/>
        </w:rPr>
        <w:t>dependent variable</w:t>
      </w:r>
      <w:r w:rsidRPr="00346950">
        <w:rPr>
          <w:color w:val="222222"/>
          <w:sz w:val="24"/>
          <w:szCs w:val="24"/>
          <w:shd w:val="clear" w:color="auto" w:fill="FFFFFF"/>
        </w:rPr>
        <w:t xml:space="preserve"> </w:t>
      </w:r>
      <w:r>
        <w:rPr>
          <w:color w:val="222222"/>
          <w:sz w:val="24"/>
          <w:szCs w:val="24"/>
          <w:shd w:val="clear" w:color="auto" w:fill="FFFFFF"/>
        </w:rPr>
        <w:t xml:space="preserve">difficult to interpret in many error correction processes. Enns et al. (2016, 10) defend, however, the general ECM used here (DeBoef and Keele 2008), concluding that </w:t>
      </w:r>
      <w:r w:rsidRPr="00806080">
        <w:rPr>
          <w:color w:val="222222"/>
          <w:sz w:val="24"/>
          <w:szCs w:val="24"/>
          <w:shd w:val="clear" w:color="auto" w:fill="FFFFFF"/>
        </w:rPr>
        <w:t xml:space="preserve">the </w:t>
      </w:r>
      <w:r>
        <w:rPr>
          <w:color w:val="222222"/>
          <w:sz w:val="24"/>
          <w:szCs w:val="24"/>
          <w:shd w:val="clear" w:color="auto" w:fill="FFFFFF"/>
        </w:rPr>
        <w:t xml:space="preserve">model “is appropriate in a variety </w:t>
      </w:r>
      <w:r w:rsidRPr="00806080">
        <w:rPr>
          <w:color w:val="222222"/>
          <w:sz w:val="24"/>
          <w:szCs w:val="24"/>
          <w:shd w:val="clear" w:color="auto" w:fill="FFFFFF"/>
        </w:rPr>
        <w:t xml:space="preserve">of data scenarios common to </w:t>
      </w:r>
      <w:r>
        <w:rPr>
          <w:color w:val="222222"/>
          <w:sz w:val="24"/>
          <w:szCs w:val="24"/>
          <w:shd w:val="clear" w:color="auto" w:fill="FFFFFF"/>
        </w:rPr>
        <w:t>political science research.”</w:t>
      </w:r>
    </w:p>
  </w:footnote>
  <w:footnote w:id="23">
    <w:p w14:paraId="72BD756B" w14:textId="77777777" w:rsidR="006C5FBA" w:rsidRPr="001A3D79" w:rsidRDefault="006C5FBA" w:rsidP="001A3D79">
      <w:pPr>
        <w:pStyle w:val="FootnoteText"/>
        <w:spacing w:line="480" w:lineRule="auto"/>
        <w:jc w:val="both"/>
        <w:rPr>
          <w:sz w:val="24"/>
          <w:szCs w:val="24"/>
        </w:rPr>
      </w:pPr>
      <w:r w:rsidRPr="001A3D79">
        <w:rPr>
          <w:rStyle w:val="FootnoteReference"/>
          <w:sz w:val="24"/>
          <w:szCs w:val="24"/>
        </w:rPr>
        <w:footnoteRef/>
      </w:r>
      <w:r w:rsidRPr="001A3D79">
        <w:rPr>
          <w:sz w:val="24"/>
          <w:szCs w:val="24"/>
        </w:rPr>
        <w:t xml:space="preserve"> Swank and Steinmo (2002) estimate their ECMs using a similar approach. We thank Luke Keele for clarifying this point.</w:t>
      </w:r>
    </w:p>
  </w:footnote>
  <w:footnote w:id="24">
    <w:p w14:paraId="694E7ADC" w14:textId="666F1B3A" w:rsidR="006C5FBA" w:rsidRPr="001E6A78" w:rsidRDefault="006C5FBA" w:rsidP="00F54E13">
      <w:pPr>
        <w:pStyle w:val="FootnoteText"/>
        <w:spacing w:line="480" w:lineRule="auto"/>
        <w:jc w:val="both"/>
        <w:rPr>
          <w:sz w:val="24"/>
          <w:szCs w:val="24"/>
        </w:rPr>
      </w:pPr>
      <w:r w:rsidRPr="001E6A78">
        <w:rPr>
          <w:rStyle w:val="FootnoteReference"/>
          <w:sz w:val="24"/>
          <w:szCs w:val="24"/>
        </w:rPr>
        <w:footnoteRef/>
      </w:r>
      <w:r w:rsidRPr="001E6A78">
        <w:rPr>
          <w:sz w:val="24"/>
          <w:szCs w:val="24"/>
        </w:rPr>
        <w:t xml:space="preserve"> Unfortunately, </w:t>
      </w:r>
      <w:r w:rsidR="002519E9">
        <w:rPr>
          <w:sz w:val="24"/>
          <w:szCs w:val="24"/>
        </w:rPr>
        <w:t xml:space="preserve">we could not include in this analysis </w:t>
      </w:r>
      <w:r w:rsidRPr="001E6A78">
        <w:rPr>
          <w:sz w:val="24"/>
          <w:szCs w:val="24"/>
        </w:rPr>
        <w:t xml:space="preserve">the </w:t>
      </w:r>
      <w:r>
        <w:rPr>
          <w:sz w:val="24"/>
          <w:szCs w:val="24"/>
        </w:rPr>
        <w:t>Productive</w:t>
      </w:r>
      <w:r w:rsidRPr="001E6A78">
        <w:rPr>
          <w:sz w:val="24"/>
          <w:szCs w:val="24"/>
        </w:rPr>
        <w:t xml:space="preserve"> and </w:t>
      </w:r>
      <w:r>
        <w:rPr>
          <w:sz w:val="24"/>
          <w:szCs w:val="24"/>
        </w:rPr>
        <w:t>Protective</w:t>
      </w:r>
      <w:r w:rsidRPr="001E6A78">
        <w:rPr>
          <w:sz w:val="24"/>
          <w:szCs w:val="24"/>
        </w:rPr>
        <w:t xml:space="preserve"> clusters along with observations not categorized by welfare state regime as the models we ran fitted poorly. Although the SWIID has many advantages, data quality and availability for many developing countries remains poor, resulting in estimates of inequality and redistribution for these countries that may not be very accurate (Houle 2017). </w:t>
      </w:r>
      <w:r w:rsidRPr="00C76048">
        <w:rPr>
          <w:sz w:val="24"/>
          <w:szCs w:val="24"/>
        </w:rPr>
        <w:t>In many cases, moreover, the SWIID’s data is not derived from information on both pre- and post-government income. Instead, estimates are often based on only one source (either pre- or post-), the difference between these figures in different years, and/or information from neighboring countries (Solt 2016, 1272)</w:t>
      </w:r>
      <w:r>
        <w:rPr>
          <w:sz w:val="24"/>
          <w:szCs w:val="24"/>
        </w:rPr>
        <w:t xml:space="preserve">. </w:t>
      </w:r>
    </w:p>
  </w:footnote>
  <w:footnote w:id="25">
    <w:p w14:paraId="02CC46D5" w14:textId="77777777" w:rsidR="006C5FBA" w:rsidRPr="004E7FED" w:rsidRDefault="006C5FBA" w:rsidP="0020300F">
      <w:pPr>
        <w:pStyle w:val="FootnoteText"/>
        <w:spacing w:line="480" w:lineRule="auto"/>
        <w:rPr>
          <w:sz w:val="24"/>
          <w:szCs w:val="24"/>
        </w:rPr>
      </w:pPr>
      <w:r w:rsidRPr="004E7FED">
        <w:rPr>
          <w:rStyle w:val="FootnoteReference"/>
          <w:sz w:val="24"/>
          <w:szCs w:val="24"/>
        </w:rPr>
        <w:footnoteRef/>
      </w:r>
      <w:r w:rsidRPr="004E7FED">
        <w:rPr>
          <w:sz w:val="24"/>
          <w:szCs w:val="24"/>
        </w:rPr>
        <w:t xml:space="preserve"> Using relative redistribution </w:t>
      </w:r>
      <w:r>
        <w:rPr>
          <w:sz w:val="24"/>
          <w:szCs w:val="24"/>
        </w:rPr>
        <w:t>as the dependent variable</w:t>
      </w:r>
      <w:r w:rsidRPr="004E7FED">
        <w:rPr>
          <w:sz w:val="24"/>
          <w:szCs w:val="24"/>
        </w:rPr>
        <w:t xml:space="preserve"> produces similar results although </w:t>
      </w:r>
      <w:r>
        <w:rPr>
          <w:sz w:val="24"/>
          <w:szCs w:val="24"/>
        </w:rPr>
        <w:t>model fit is slightly lower</w:t>
      </w:r>
      <w:r w:rsidRPr="004E7FED">
        <w:rPr>
          <w:sz w:val="24"/>
          <w:szCs w:val="24"/>
        </w:rPr>
        <w:t>.</w:t>
      </w:r>
    </w:p>
  </w:footnote>
  <w:footnote w:id="26">
    <w:p w14:paraId="64A93208" w14:textId="118FE574" w:rsidR="006C5FBA" w:rsidRPr="00E66941" w:rsidRDefault="006C5FBA" w:rsidP="00C74E5A">
      <w:pPr>
        <w:pStyle w:val="FootnoteText"/>
        <w:spacing w:line="480" w:lineRule="auto"/>
        <w:jc w:val="both"/>
        <w:rPr>
          <w:sz w:val="24"/>
          <w:szCs w:val="24"/>
        </w:rPr>
      </w:pPr>
      <w:r w:rsidRPr="00E66941">
        <w:rPr>
          <w:rStyle w:val="FootnoteReference"/>
          <w:sz w:val="24"/>
          <w:szCs w:val="24"/>
        </w:rPr>
        <w:footnoteRef/>
      </w:r>
      <w:r w:rsidRPr="00E66941">
        <w:rPr>
          <w:sz w:val="24"/>
          <w:szCs w:val="24"/>
        </w:rPr>
        <w:t xml:space="preserve"> </w:t>
      </w:r>
      <w:r>
        <w:rPr>
          <w:sz w:val="24"/>
          <w:szCs w:val="24"/>
        </w:rPr>
        <w:t>Although t</w:t>
      </w:r>
      <w:r w:rsidRPr="00E66941">
        <w:rPr>
          <w:sz w:val="24"/>
          <w:szCs w:val="24"/>
        </w:rPr>
        <w:t xml:space="preserve">his appears to contradict the relationship depicted </w:t>
      </w:r>
      <w:r>
        <w:rPr>
          <w:sz w:val="24"/>
          <w:szCs w:val="24"/>
        </w:rPr>
        <w:t>in the first panel of Figure 1, a</w:t>
      </w:r>
      <w:r w:rsidRPr="00E66941">
        <w:rPr>
          <w:sz w:val="24"/>
          <w:szCs w:val="24"/>
        </w:rPr>
        <w:t xml:space="preserve"> lowess smother plot reveals </w:t>
      </w:r>
      <w:r>
        <w:rPr>
          <w:sz w:val="24"/>
          <w:szCs w:val="24"/>
        </w:rPr>
        <w:t>that the relationship is negative for some countries and positive for others</w:t>
      </w:r>
      <w:r w:rsidRPr="00E66941">
        <w:rPr>
          <w:sz w:val="24"/>
          <w:szCs w:val="24"/>
        </w:rPr>
        <w:t>.</w:t>
      </w:r>
      <w:r>
        <w:rPr>
          <w:sz w:val="24"/>
          <w:szCs w:val="24"/>
        </w:rPr>
        <w:t xml:space="preserve"> This indicates that important differences, which seem to be related to the type of welfare state, exist among clusters of countries </w:t>
      </w:r>
      <w:r w:rsidRPr="00C74E5A">
        <w:rPr>
          <w:sz w:val="24"/>
          <w:szCs w:val="24"/>
        </w:rPr>
        <w:t>(Huber and Stephens 2014, 246)</w:t>
      </w:r>
      <w:r>
        <w:rPr>
          <w:sz w:val="24"/>
          <w:szCs w:val="24"/>
        </w:rPr>
        <w:t xml:space="preserve">. </w:t>
      </w:r>
    </w:p>
  </w:footnote>
  <w:footnote w:id="27">
    <w:p w14:paraId="71C604FC" w14:textId="77777777" w:rsidR="006C5FBA" w:rsidRPr="001A3D79" w:rsidRDefault="006C5FBA" w:rsidP="001A3D79">
      <w:pPr>
        <w:pStyle w:val="FootnoteText"/>
        <w:spacing w:line="480" w:lineRule="auto"/>
        <w:jc w:val="both"/>
        <w:rPr>
          <w:sz w:val="24"/>
          <w:szCs w:val="24"/>
        </w:rPr>
      </w:pPr>
      <w:r w:rsidRPr="001A3D79">
        <w:rPr>
          <w:rStyle w:val="FootnoteReference"/>
          <w:sz w:val="24"/>
          <w:szCs w:val="24"/>
        </w:rPr>
        <w:footnoteRef/>
      </w:r>
      <w:r w:rsidRPr="001A3D79">
        <w:rPr>
          <w:sz w:val="24"/>
          <w:szCs w:val="24"/>
        </w:rPr>
        <w:t xml:space="preserve"> These test statistics, moreover, are heteroskedasticity and autocorrelation-robust. </w:t>
      </w:r>
    </w:p>
  </w:footnote>
  <w:footnote w:id="28">
    <w:p w14:paraId="54BA2CD0" w14:textId="77777777" w:rsidR="006C5FBA" w:rsidRPr="001A3D79" w:rsidRDefault="006C5FBA" w:rsidP="001A3D79">
      <w:pPr>
        <w:pStyle w:val="FootnoteText"/>
        <w:spacing w:line="480" w:lineRule="auto"/>
        <w:jc w:val="both"/>
        <w:rPr>
          <w:sz w:val="24"/>
          <w:szCs w:val="24"/>
        </w:rPr>
      </w:pPr>
      <w:r w:rsidRPr="001A3D79">
        <w:rPr>
          <w:rStyle w:val="FootnoteReference"/>
          <w:sz w:val="24"/>
          <w:szCs w:val="24"/>
        </w:rPr>
        <w:footnoteRef/>
      </w:r>
      <w:r w:rsidRPr="001A3D79">
        <w:rPr>
          <w:sz w:val="24"/>
          <w:szCs w:val="24"/>
        </w:rPr>
        <w:t xml:space="preserve"> These simulations assume that all other variables are held at their sample means.</w:t>
      </w:r>
    </w:p>
  </w:footnote>
  <w:footnote w:id="29">
    <w:p w14:paraId="0555FC4F" w14:textId="028B854E" w:rsidR="006C5FBA" w:rsidRPr="001A3D79" w:rsidRDefault="006C5FBA" w:rsidP="001A3D79">
      <w:pPr>
        <w:pStyle w:val="FootnoteText"/>
        <w:spacing w:line="480" w:lineRule="auto"/>
        <w:jc w:val="both"/>
        <w:rPr>
          <w:sz w:val="24"/>
          <w:szCs w:val="24"/>
        </w:rPr>
      </w:pPr>
      <w:r w:rsidRPr="001A3D79">
        <w:rPr>
          <w:rStyle w:val="FootnoteReference"/>
          <w:sz w:val="24"/>
          <w:szCs w:val="24"/>
        </w:rPr>
        <w:footnoteRef/>
      </w:r>
      <w:r w:rsidRPr="001A3D79">
        <w:rPr>
          <w:sz w:val="24"/>
          <w:szCs w:val="24"/>
        </w:rPr>
        <w:t xml:space="preserve"> </w:t>
      </w:r>
      <w:r>
        <w:rPr>
          <w:sz w:val="24"/>
          <w:szCs w:val="24"/>
        </w:rPr>
        <w:t>There is some autocorrelation in the AR (1) residuals, but t</w:t>
      </w:r>
      <w:r w:rsidRPr="001A3D79">
        <w:rPr>
          <w:sz w:val="24"/>
          <w:szCs w:val="24"/>
        </w:rPr>
        <w:t xml:space="preserve">he more important of the two </w:t>
      </w:r>
      <w:r>
        <w:rPr>
          <w:sz w:val="24"/>
          <w:szCs w:val="24"/>
        </w:rPr>
        <w:t xml:space="preserve">tests </w:t>
      </w:r>
      <w:r w:rsidRPr="001A3D79">
        <w:rPr>
          <w:sz w:val="24"/>
          <w:szCs w:val="24"/>
        </w:rPr>
        <w:t xml:space="preserve">is the test for autocorrelation in the AR (2) residuals, since it involves the level in addition to the differences equation (Mileva 2007, 7). </w:t>
      </w:r>
    </w:p>
  </w:footnote>
  <w:footnote w:id="30">
    <w:p w14:paraId="4989912E" w14:textId="44222274" w:rsidR="006C5FBA" w:rsidRPr="001A3D79" w:rsidRDefault="006C5FBA" w:rsidP="001A3D79">
      <w:pPr>
        <w:pStyle w:val="FootnoteText"/>
        <w:spacing w:line="480" w:lineRule="auto"/>
        <w:jc w:val="both"/>
        <w:rPr>
          <w:sz w:val="24"/>
          <w:szCs w:val="24"/>
        </w:rPr>
      </w:pPr>
      <w:r w:rsidRPr="001A3D79">
        <w:rPr>
          <w:rStyle w:val="FootnoteReference"/>
          <w:sz w:val="24"/>
          <w:szCs w:val="24"/>
        </w:rPr>
        <w:footnoteRef/>
      </w:r>
      <w:r w:rsidRPr="001A3D79">
        <w:rPr>
          <w:sz w:val="24"/>
          <w:szCs w:val="24"/>
        </w:rPr>
        <w:t xml:space="preserve"> We are willing to entertain alternative classifications of </w:t>
      </w:r>
      <w:r>
        <w:rPr>
          <w:sz w:val="24"/>
          <w:szCs w:val="24"/>
        </w:rPr>
        <w:t>developing country</w:t>
      </w:r>
      <w:r w:rsidRPr="001A3D79">
        <w:rPr>
          <w:sz w:val="24"/>
          <w:szCs w:val="24"/>
        </w:rPr>
        <w:t xml:space="preserve"> welfare states. After all, Rudra (2007, 388) derived her classification using only thirty-two observations. We nevertheless opted for Rudra’s classification since it is inductively derived using the same set of indicators for all countries.</w:t>
      </w:r>
    </w:p>
    <w:p w14:paraId="3D936CD3" w14:textId="77777777" w:rsidR="006C5FBA" w:rsidRPr="001A3D79" w:rsidRDefault="006C5FBA" w:rsidP="001A3D79">
      <w:pPr>
        <w:pStyle w:val="FootnoteText"/>
        <w:spacing w:line="480" w:lineRule="auto"/>
        <w:jc w:val="both"/>
        <w:rPr>
          <w:sz w:val="24"/>
          <w:szCs w:val="24"/>
        </w:rPr>
      </w:pPr>
    </w:p>
    <w:p w14:paraId="5BC2AFB2" w14:textId="77777777" w:rsidR="006C5FBA" w:rsidRPr="001A3D79" w:rsidRDefault="006C5FBA" w:rsidP="001A3D79">
      <w:pPr>
        <w:pStyle w:val="FootnoteText"/>
        <w:spacing w:line="480" w:lineRule="auto"/>
        <w:jc w:val="both"/>
        <w:rPr>
          <w:sz w:val="24"/>
          <w:szCs w:val="24"/>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D4CF7"/>
    <w:multiLevelType w:val="hybridMultilevel"/>
    <w:tmpl w:val="F8FA1C5E"/>
    <w:lvl w:ilvl="0" w:tplc="186E84CC">
      <w:numFmt w:val="bullet"/>
      <w:lvlText w:val=""/>
      <w:lvlJc w:val="left"/>
      <w:pPr>
        <w:ind w:left="720" w:hanging="360"/>
      </w:pPr>
      <w:rPr>
        <w:rFonts w:ascii="Symbol" w:eastAsia="Batang"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636CB7"/>
    <w:multiLevelType w:val="hybridMultilevel"/>
    <w:tmpl w:val="C8829B08"/>
    <w:lvl w:ilvl="0" w:tplc="B6AEAC84">
      <w:numFmt w:val="bullet"/>
      <w:lvlText w:val=""/>
      <w:lvlJc w:val="left"/>
      <w:pPr>
        <w:ind w:left="720" w:hanging="360"/>
      </w:pPr>
      <w:rPr>
        <w:rFonts w:ascii="Symbol" w:eastAsia="Batang"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557EBB"/>
    <w:multiLevelType w:val="hybridMultilevel"/>
    <w:tmpl w:val="E30E2402"/>
    <w:lvl w:ilvl="0" w:tplc="3E907F88">
      <w:numFmt w:val="bullet"/>
      <w:lvlText w:val=""/>
      <w:lvlJc w:val="left"/>
      <w:pPr>
        <w:ind w:left="720" w:hanging="360"/>
      </w:pPr>
      <w:rPr>
        <w:rFonts w:ascii="Symbol" w:eastAsia="Batang"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744E93"/>
    <w:multiLevelType w:val="hybridMultilevel"/>
    <w:tmpl w:val="4BF43D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88C53E8"/>
    <w:multiLevelType w:val="hybridMultilevel"/>
    <w:tmpl w:val="DA96605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E4363F"/>
    <w:multiLevelType w:val="hybridMultilevel"/>
    <w:tmpl w:val="8B7EF794"/>
    <w:lvl w:ilvl="0" w:tplc="AB00C584">
      <w:start w:val="1"/>
      <w:numFmt w:val="bullet"/>
      <w:lvlText w:val="•"/>
      <w:lvlJc w:val="left"/>
      <w:pPr>
        <w:tabs>
          <w:tab w:val="num" w:pos="720"/>
        </w:tabs>
        <w:ind w:left="720" w:hanging="360"/>
      </w:pPr>
      <w:rPr>
        <w:rFonts w:ascii="Times New Roman" w:hAnsi="Times New Roman" w:hint="default"/>
      </w:rPr>
    </w:lvl>
    <w:lvl w:ilvl="1" w:tplc="FAEE3FAE" w:tentative="1">
      <w:start w:val="1"/>
      <w:numFmt w:val="bullet"/>
      <w:lvlText w:val="•"/>
      <w:lvlJc w:val="left"/>
      <w:pPr>
        <w:tabs>
          <w:tab w:val="num" w:pos="1440"/>
        </w:tabs>
        <w:ind w:left="1440" w:hanging="360"/>
      </w:pPr>
      <w:rPr>
        <w:rFonts w:ascii="Times New Roman" w:hAnsi="Times New Roman" w:hint="default"/>
      </w:rPr>
    </w:lvl>
    <w:lvl w:ilvl="2" w:tplc="5434C34E" w:tentative="1">
      <w:start w:val="1"/>
      <w:numFmt w:val="bullet"/>
      <w:lvlText w:val="•"/>
      <w:lvlJc w:val="left"/>
      <w:pPr>
        <w:tabs>
          <w:tab w:val="num" w:pos="2160"/>
        </w:tabs>
        <w:ind w:left="2160" w:hanging="360"/>
      </w:pPr>
      <w:rPr>
        <w:rFonts w:ascii="Times New Roman" w:hAnsi="Times New Roman" w:hint="default"/>
      </w:rPr>
    </w:lvl>
    <w:lvl w:ilvl="3" w:tplc="32BCA438" w:tentative="1">
      <w:start w:val="1"/>
      <w:numFmt w:val="bullet"/>
      <w:lvlText w:val="•"/>
      <w:lvlJc w:val="left"/>
      <w:pPr>
        <w:tabs>
          <w:tab w:val="num" w:pos="2880"/>
        </w:tabs>
        <w:ind w:left="2880" w:hanging="360"/>
      </w:pPr>
      <w:rPr>
        <w:rFonts w:ascii="Times New Roman" w:hAnsi="Times New Roman" w:hint="default"/>
      </w:rPr>
    </w:lvl>
    <w:lvl w:ilvl="4" w:tplc="79E007C2" w:tentative="1">
      <w:start w:val="1"/>
      <w:numFmt w:val="bullet"/>
      <w:lvlText w:val="•"/>
      <w:lvlJc w:val="left"/>
      <w:pPr>
        <w:tabs>
          <w:tab w:val="num" w:pos="3600"/>
        </w:tabs>
        <w:ind w:left="3600" w:hanging="360"/>
      </w:pPr>
      <w:rPr>
        <w:rFonts w:ascii="Times New Roman" w:hAnsi="Times New Roman" w:hint="default"/>
      </w:rPr>
    </w:lvl>
    <w:lvl w:ilvl="5" w:tplc="E1BC6A76" w:tentative="1">
      <w:start w:val="1"/>
      <w:numFmt w:val="bullet"/>
      <w:lvlText w:val="•"/>
      <w:lvlJc w:val="left"/>
      <w:pPr>
        <w:tabs>
          <w:tab w:val="num" w:pos="4320"/>
        </w:tabs>
        <w:ind w:left="4320" w:hanging="360"/>
      </w:pPr>
      <w:rPr>
        <w:rFonts w:ascii="Times New Roman" w:hAnsi="Times New Roman" w:hint="default"/>
      </w:rPr>
    </w:lvl>
    <w:lvl w:ilvl="6" w:tplc="AD9A5F62" w:tentative="1">
      <w:start w:val="1"/>
      <w:numFmt w:val="bullet"/>
      <w:lvlText w:val="•"/>
      <w:lvlJc w:val="left"/>
      <w:pPr>
        <w:tabs>
          <w:tab w:val="num" w:pos="5040"/>
        </w:tabs>
        <w:ind w:left="5040" w:hanging="360"/>
      </w:pPr>
      <w:rPr>
        <w:rFonts w:ascii="Times New Roman" w:hAnsi="Times New Roman" w:hint="default"/>
      </w:rPr>
    </w:lvl>
    <w:lvl w:ilvl="7" w:tplc="91808178" w:tentative="1">
      <w:start w:val="1"/>
      <w:numFmt w:val="bullet"/>
      <w:lvlText w:val="•"/>
      <w:lvlJc w:val="left"/>
      <w:pPr>
        <w:tabs>
          <w:tab w:val="num" w:pos="5760"/>
        </w:tabs>
        <w:ind w:left="5760" w:hanging="360"/>
      </w:pPr>
      <w:rPr>
        <w:rFonts w:ascii="Times New Roman" w:hAnsi="Times New Roman" w:hint="default"/>
      </w:rPr>
    </w:lvl>
    <w:lvl w:ilvl="8" w:tplc="444CADFE"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53330140"/>
    <w:multiLevelType w:val="hybridMultilevel"/>
    <w:tmpl w:val="6F18844C"/>
    <w:lvl w:ilvl="0" w:tplc="27ECDBB0">
      <w:numFmt w:val="bullet"/>
      <w:lvlText w:val=""/>
      <w:lvlJc w:val="left"/>
      <w:pPr>
        <w:ind w:left="720" w:hanging="360"/>
      </w:pPr>
      <w:rPr>
        <w:rFonts w:ascii="Symbol" w:eastAsia="Batang"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BF0853"/>
    <w:multiLevelType w:val="hybridMultilevel"/>
    <w:tmpl w:val="4E1E2868"/>
    <w:lvl w:ilvl="0" w:tplc="55AC0F4C">
      <w:numFmt w:val="bullet"/>
      <w:lvlText w:val=""/>
      <w:lvlJc w:val="left"/>
      <w:pPr>
        <w:ind w:left="720" w:hanging="360"/>
      </w:pPr>
      <w:rPr>
        <w:rFonts w:ascii="Symbol" w:eastAsia="Batang"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4094511"/>
    <w:multiLevelType w:val="hybridMultilevel"/>
    <w:tmpl w:val="AB5C5E12"/>
    <w:lvl w:ilvl="0" w:tplc="3B4AF48E">
      <w:start w:val="1"/>
      <w:numFmt w:val="bullet"/>
      <w:lvlText w:val="•"/>
      <w:lvlJc w:val="left"/>
      <w:pPr>
        <w:tabs>
          <w:tab w:val="num" w:pos="720"/>
        </w:tabs>
        <w:ind w:left="720" w:hanging="360"/>
      </w:pPr>
      <w:rPr>
        <w:rFonts w:ascii="Times New Roman" w:hAnsi="Times New Roman" w:hint="default"/>
      </w:rPr>
    </w:lvl>
    <w:lvl w:ilvl="1" w:tplc="AA027D88" w:tentative="1">
      <w:start w:val="1"/>
      <w:numFmt w:val="bullet"/>
      <w:lvlText w:val="•"/>
      <w:lvlJc w:val="left"/>
      <w:pPr>
        <w:tabs>
          <w:tab w:val="num" w:pos="1440"/>
        </w:tabs>
        <w:ind w:left="1440" w:hanging="360"/>
      </w:pPr>
      <w:rPr>
        <w:rFonts w:ascii="Times New Roman" w:hAnsi="Times New Roman" w:hint="default"/>
      </w:rPr>
    </w:lvl>
    <w:lvl w:ilvl="2" w:tplc="35D819C4" w:tentative="1">
      <w:start w:val="1"/>
      <w:numFmt w:val="bullet"/>
      <w:lvlText w:val="•"/>
      <w:lvlJc w:val="left"/>
      <w:pPr>
        <w:tabs>
          <w:tab w:val="num" w:pos="2160"/>
        </w:tabs>
        <w:ind w:left="2160" w:hanging="360"/>
      </w:pPr>
      <w:rPr>
        <w:rFonts w:ascii="Times New Roman" w:hAnsi="Times New Roman" w:hint="default"/>
      </w:rPr>
    </w:lvl>
    <w:lvl w:ilvl="3" w:tplc="FD7036C6" w:tentative="1">
      <w:start w:val="1"/>
      <w:numFmt w:val="bullet"/>
      <w:lvlText w:val="•"/>
      <w:lvlJc w:val="left"/>
      <w:pPr>
        <w:tabs>
          <w:tab w:val="num" w:pos="2880"/>
        </w:tabs>
        <w:ind w:left="2880" w:hanging="360"/>
      </w:pPr>
      <w:rPr>
        <w:rFonts w:ascii="Times New Roman" w:hAnsi="Times New Roman" w:hint="default"/>
      </w:rPr>
    </w:lvl>
    <w:lvl w:ilvl="4" w:tplc="B180F986" w:tentative="1">
      <w:start w:val="1"/>
      <w:numFmt w:val="bullet"/>
      <w:lvlText w:val="•"/>
      <w:lvlJc w:val="left"/>
      <w:pPr>
        <w:tabs>
          <w:tab w:val="num" w:pos="3600"/>
        </w:tabs>
        <w:ind w:left="3600" w:hanging="360"/>
      </w:pPr>
      <w:rPr>
        <w:rFonts w:ascii="Times New Roman" w:hAnsi="Times New Roman" w:hint="default"/>
      </w:rPr>
    </w:lvl>
    <w:lvl w:ilvl="5" w:tplc="457619DA" w:tentative="1">
      <w:start w:val="1"/>
      <w:numFmt w:val="bullet"/>
      <w:lvlText w:val="•"/>
      <w:lvlJc w:val="left"/>
      <w:pPr>
        <w:tabs>
          <w:tab w:val="num" w:pos="4320"/>
        </w:tabs>
        <w:ind w:left="4320" w:hanging="360"/>
      </w:pPr>
      <w:rPr>
        <w:rFonts w:ascii="Times New Roman" w:hAnsi="Times New Roman" w:hint="default"/>
      </w:rPr>
    </w:lvl>
    <w:lvl w:ilvl="6" w:tplc="33ACBC04" w:tentative="1">
      <w:start w:val="1"/>
      <w:numFmt w:val="bullet"/>
      <w:lvlText w:val="•"/>
      <w:lvlJc w:val="left"/>
      <w:pPr>
        <w:tabs>
          <w:tab w:val="num" w:pos="5040"/>
        </w:tabs>
        <w:ind w:left="5040" w:hanging="360"/>
      </w:pPr>
      <w:rPr>
        <w:rFonts w:ascii="Times New Roman" w:hAnsi="Times New Roman" w:hint="default"/>
      </w:rPr>
    </w:lvl>
    <w:lvl w:ilvl="7" w:tplc="9266C874" w:tentative="1">
      <w:start w:val="1"/>
      <w:numFmt w:val="bullet"/>
      <w:lvlText w:val="•"/>
      <w:lvlJc w:val="left"/>
      <w:pPr>
        <w:tabs>
          <w:tab w:val="num" w:pos="5760"/>
        </w:tabs>
        <w:ind w:left="5760" w:hanging="360"/>
      </w:pPr>
      <w:rPr>
        <w:rFonts w:ascii="Times New Roman" w:hAnsi="Times New Roman" w:hint="default"/>
      </w:rPr>
    </w:lvl>
    <w:lvl w:ilvl="8" w:tplc="C46E3C60" w:tentative="1">
      <w:start w:val="1"/>
      <w:numFmt w:val="bullet"/>
      <w:lvlText w:val="•"/>
      <w:lvlJc w:val="left"/>
      <w:pPr>
        <w:tabs>
          <w:tab w:val="num" w:pos="6480"/>
        </w:tabs>
        <w:ind w:left="6480" w:hanging="360"/>
      </w:pPr>
      <w:rPr>
        <w:rFonts w:ascii="Times New Roman" w:hAnsi="Times New Roman" w:hint="default"/>
      </w:rPr>
    </w:lvl>
  </w:abstractNum>
  <w:num w:numId="1">
    <w:abstractNumId w:val="8"/>
  </w:num>
  <w:num w:numId="2">
    <w:abstractNumId w:val="5"/>
  </w:num>
  <w:num w:numId="3">
    <w:abstractNumId w:val="7"/>
  </w:num>
  <w:num w:numId="4">
    <w:abstractNumId w:val="3"/>
  </w:num>
  <w:num w:numId="5">
    <w:abstractNumId w:val="0"/>
  </w:num>
  <w:num w:numId="6">
    <w:abstractNumId w:val="2"/>
  </w:num>
  <w:num w:numId="7">
    <w:abstractNumId w:val="4"/>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trackRevisions/>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B30"/>
    <w:rsid w:val="000003AD"/>
    <w:rsid w:val="00000C05"/>
    <w:rsid w:val="00000F8F"/>
    <w:rsid w:val="000012DA"/>
    <w:rsid w:val="0000224D"/>
    <w:rsid w:val="00003397"/>
    <w:rsid w:val="00003543"/>
    <w:rsid w:val="00003AA4"/>
    <w:rsid w:val="00003D4D"/>
    <w:rsid w:val="00003FCC"/>
    <w:rsid w:val="000046D2"/>
    <w:rsid w:val="000049F5"/>
    <w:rsid w:val="00005DCB"/>
    <w:rsid w:val="00006232"/>
    <w:rsid w:val="0000649D"/>
    <w:rsid w:val="0000653F"/>
    <w:rsid w:val="0000656C"/>
    <w:rsid w:val="00006591"/>
    <w:rsid w:val="00006A56"/>
    <w:rsid w:val="00006C34"/>
    <w:rsid w:val="00006CA0"/>
    <w:rsid w:val="000079D1"/>
    <w:rsid w:val="00007B03"/>
    <w:rsid w:val="00007CA9"/>
    <w:rsid w:val="00007F41"/>
    <w:rsid w:val="000101D0"/>
    <w:rsid w:val="00010413"/>
    <w:rsid w:val="0001049E"/>
    <w:rsid w:val="000118A7"/>
    <w:rsid w:val="000123D2"/>
    <w:rsid w:val="00012AC6"/>
    <w:rsid w:val="0001334D"/>
    <w:rsid w:val="00013BC9"/>
    <w:rsid w:val="00014250"/>
    <w:rsid w:val="000146CF"/>
    <w:rsid w:val="00014ABF"/>
    <w:rsid w:val="00014D2D"/>
    <w:rsid w:val="00014EBA"/>
    <w:rsid w:val="00015476"/>
    <w:rsid w:val="00015AB9"/>
    <w:rsid w:val="00015B5C"/>
    <w:rsid w:val="000160E9"/>
    <w:rsid w:val="000162F1"/>
    <w:rsid w:val="0001667E"/>
    <w:rsid w:val="000167BE"/>
    <w:rsid w:val="00016B30"/>
    <w:rsid w:val="00017082"/>
    <w:rsid w:val="0001713A"/>
    <w:rsid w:val="000172C1"/>
    <w:rsid w:val="00020515"/>
    <w:rsid w:val="0002066D"/>
    <w:rsid w:val="00020E9C"/>
    <w:rsid w:val="0002105A"/>
    <w:rsid w:val="00021D01"/>
    <w:rsid w:val="00021E8F"/>
    <w:rsid w:val="0002201B"/>
    <w:rsid w:val="00022A62"/>
    <w:rsid w:val="0002366F"/>
    <w:rsid w:val="000237E2"/>
    <w:rsid w:val="000244F2"/>
    <w:rsid w:val="0002487A"/>
    <w:rsid w:val="00025145"/>
    <w:rsid w:val="000252E8"/>
    <w:rsid w:val="000252F5"/>
    <w:rsid w:val="00025430"/>
    <w:rsid w:val="00025826"/>
    <w:rsid w:val="00026B87"/>
    <w:rsid w:val="00026EF9"/>
    <w:rsid w:val="000274B1"/>
    <w:rsid w:val="000278D1"/>
    <w:rsid w:val="00027C1D"/>
    <w:rsid w:val="0003016B"/>
    <w:rsid w:val="000307E3"/>
    <w:rsid w:val="00030B65"/>
    <w:rsid w:val="0003127B"/>
    <w:rsid w:val="000318D7"/>
    <w:rsid w:val="00031B9B"/>
    <w:rsid w:val="00031DF1"/>
    <w:rsid w:val="00031F98"/>
    <w:rsid w:val="00032221"/>
    <w:rsid w:val="0003249A"/>
    <w:rsid w:val="00032721"/>
    <w:rsid w:val="000334C9"/>
    <w:rsid w:val="00033DB1"/>
    <w:rsid w:val="00034804"/>
    <w:rsid w:val="000357BB"/>
    <w:rsid w:val="00035B2B"/>
    <w:rsid w:val="0003666F"/>
    <w:rsid w:val="00036767"/>
    <w:rsid w:val="00036E58"/>
    <w:rsid w:val="000375D6"/>
    <w:rsid w:val="000403D9"/>
    <w:rsid w:val="00041394"/>
    <w:rsid w:val="00041411"/>
    <w:rsid w:val="0004160B"/>
    <w:rsid w:val="00041720"/>
    <w:rsid w:val="00041AE8"/>
    <w:rsid w:val="00041AF7"/>
    <w:rsid w:val="00041C7B"/>
    <w:rsid w:val="000426F6"/>
    <w:rsid w:val="00042873"/>
    <w:rsid w:val="00042ED7"/>
    <w:rsid w:val="00042EE2"/>
    <w:rsid w:val="00043506"/>
    <w:rsid w:val="00043DD7"/>
    <w:rsid w:val="0004445D"/>
    <w:rsid w:val="0004494B"/>
    <w:rsid w:val="000449AE"/>
    <w:rsid w:val="00045243"/>
    <w:rsid w:val="0004527D"/>
    <w:rsid w:val="00045C60"/>
    <w:rsid w:val="0004666F"/>
    <w:rsid w:val="00046ED2"/>
    <w:rsid w:val="000474F3"/>
    <w:rsid w:val="00047C7E"/>
    <w:rsid w:val="000505EE"/>
    <w:rsid w:val="000505FC"/>
    <w:rsid w:val="000506A1"/>
    <w:rsid w:val="000506E2"/>
    <w:rsid w:val="0005141F"/>
    <w:rsid w:val="0005149E"/>
    <w:rsid w:val="00051D55"/>
    <w:rsid w:val="0005204E"/>
    <w:rsid w:val="000527E0"/>
    <w:rsid w:val="00052E43"/>
    <w:rsid w:val="00053019"/>
    <w:rsid w:val="000531D6"/>
    <w:rsid w:val="0005343D"/>
    <w:rsid w:val="000539BB"/>
    <w:rsid w:val="000539BC"/>
    <w:rsid w:val="00053C2D"/>
    <w:rsid w:val="000542AD"/>
    <w:rsid w:val="00054440"/>
    <w:rsid w:val="00054459"/>
    <w:rsid w:val="0005458B"/>
    <w:rsid w:val="0005488F"/>
    <w:rsid w:val="000556D4"/>
    <w:rsid w:val="000556F5"/>
    <w:rsid w:val="00055824"/>
    <w:rsid w:val="00055CA7"/>
    <w:rsid w:val="00057492"/>
    <w:rsid w:val="00057B99"/>
    <w:rsid w:val="00057DEC"/>
    <w:rsid w:val="00057FFA"/>
    <w:rsid w:val="0006040C"/>
    <w:rsid w:val="00060569"/>
    <w:rsid w:val="000608C0"/>
    <w:rsid w:val="0006090D"/>
    <w:rsid w:val="00060E77"/>
    <w:rsid w:val="00060FA8"/>
    <w:rsid w:val="000614A0"/>
    <w:rsid w:val="000614B9"/>
    <w:rsid w:val="000618E7"/>
    <w:rsid w:val="00062A60"/>
    <w:rsid w:val="00062CD5"/>
    <w:rsid w:val="0006315F"/>
    <w:rsid w:val="00063606"/>
    <w:rsid w:val="00063D48"/>
    <w:rsid w:val="00064F4B"/>
    <w:rsid w:val="000658D5"/>
    <w:rsid w:val="0006607D"/>
    <w:rsid w:val="00066145"/>
    <w:rsid w:val="0006659D"/>
    <w:rsid w:val="000666CF"/>
    <w:rsid w:val="00066868"/>
    <w:rsid w:val="00067518"/>
    <w:rsid w:val="0006755D"/>
    <w:rsid w:val="00067BBB"/>
    <w:rsid w:val="00070524"/>
    <w:rsid w:val="0007066C"/>
    <w:rsid w:val="00070715"/>
    <w:rsid w:val="00070D49"/>
    <w:rsid w:val="000711FE"/>
    <w:rsid w:val="00071C0E"/>
    <w:rsid w:val="000738EC"/>
    <w:rsid w:val="00073ACF"/>
    <w:rsid w:val="00073B44"/>
    <w:rsid w:val="000748BC"/>
    <w:rsid w:val="00074E5F"/>
    <w:rsid w:val="000755F0"/>
    <w:rsid w:val="000762F5"/>
    <w:rsid w:val="00076962"/>
    <w:rsid w:val="00076C74"/>
    <w:rsid w:val="00077C2E"/>
    <w:rsid w:val="00077EC6"/>
    <w:rsid w:val="0008005D"/>
    <w:rsid w:val="0008026C"/>
    <w:rsid w:val="00080272"/>
    <w:rsid w:val="00080C44"/>
    <w:rsid w:val="00080EDF"/>
    <w:rsid w:val="000822C2"/>
    <w:rsid w:val="000829E1"/>
    <w:rsid w:val="00082BE1"/>
    <w:rsid w:val="00082D0B"/>
    <w:rsid w:val="00082DF7"/>
    <w:rsid w:val="0008335C"/>
    <w:rsid w:val="000836EB"/>
    <w:rsid w:val="00083B94"/>
    <w:rsid w:val="00084182"/>
    <w:rsid w:val="000850E6"/>
    <w:rsid w:val="00085251"/>
    <w:rsid w:val="00085B95"/>
    <w:rsid w:val="00086752"/>
    <w:rsid w:val="00086C38"/>
    <w:rsid w:val="00087160"/>
    <w:rsid w:val="00087E83"/>
    <w:rsid w:val="00087E88"/>
    <w:rsid w:val="00090589"/>
    <w:rsid w:val="00090889"/>
    <w:rsid w:val="00090C9F"/>
    <w:rsid w:val="000910F8"/>
    <w:rsid w:val="000912F2"/>
    <w:rsid w:val="0009198E"/>
    <w:rsid w:val="000919AE"/>
    <w:rsid w:val="00091B77"/>
    <w:rsid w:val="00091D63"/>
    <w:rsid w:val="00091FCB"/>
    <w:rsid w:val="0009230C"/>
    <w:rsid w:val="00092717"/>
    <w:rsid w:val="000929CE"/>
    <w:rsid w:val="00092CC7"/>
    <w:rsid w:val="0009322C"/>
    <w:rsid w:val="0009354A"/>
    <w:rsid w:val="0009468D"/>
    <w:rsid w:val="00094934"/>
    <w:rsid w:val="00094AE4"/>
    <w:rsid w:val="00095489"/>
    <w:rsid w:val="00095A1F"/>
    <w:rsid w:val="00095A4E"/>
    <w:rsid w:val="00095E62"/>
    <w:rsid w:val="00096606"/>
    <w:rsid w:val="00096E79"/>
    <w:rsid w:val="00097459"/>
    <w:rsid w:val="000A0565"/>
    <w:rsid w:val="000A05E6"/>
    <w:rsid w:val="000A15A4"/>
    <w:rsid w:val="000A1613"/>
    <w:rsid w:val="000A1749"/>
    <w:rsid w:val="000A1DA8"/>
    <w:rsid w:val="000A204D"/>
    <w:rsid w:val="000A2EAC"/>
    <w:rsid w:val="000A3357"/>
    <w:rsid w:val="000A33D4"/>
    <w:rsid w:val="000A383D"/>
    <w:rsid w:val="000A3FE2"/>
    <w:rsid w:val="000A41C8"/>
    <w:rsid w:val="000A4CE1"/>
    <w:rsid w:val="000A4D9C"/>
    <w:rsid w:val="000A5052"/>
    <w:rsid w:val="000A51E9"/>
    <w:rsid w:val="000A5B55"/>
    <w:rsid w:val="000A5F15"/>
    <w:rsid w:val="000A66F8"/>
    <w:rsid w:val="000A71E6"/>
    <w:rsid w:val="000A7348"/>
    <w:rsid w:val="000A77DB"/>
    <w:rsid w:val="000A7C16"/>
    <w:rsid w:val="000A7CA8"/>
    <w:rsid w:val="000A7E08"/>
    <w:rsid w:val="000B1C82"/>
    <w:rsid w:val="000B2386"/>
    <w:rsid w:val="000B2602"/>
    <w:rsid w:val="000B2C4C"/>
    <w:rsid w:val="000B2CB5"/>
    <w:rsid w:val="000B2CC9"/>
    <w:rsid w:val="000B30CE"/>
    <w:rsid w:val="000B3270"/>
    <w:rsid w:val="000B3A48"/>
    <w:rsid w:val="000B3E2B"/>
    <w:rsid w:val="000B41AA"/>
    <w:rsid w:val="000B41EF"/>
    <w:rsid w:val="000B420A"/>
    <w:rsid w:val="000B423C"/>
    <w:rsid w:val="000B42FE"/>
    <w:rsid w:val="000B438C"/>
    <w:rsid w:val="000B4E1D"/>
    <w:rsid w:val="000B527B"/>
    <w:rsid w:val="000B53D6"/>
    <w:rsid w:val="000B5403"/>
    <w:rsid w:val="000B57BA"/>
    <w:rsid w:val="000B5B7E"/>
    <w:rsid w:val="000B601E"/>
    <w:rsid w:val="000B6176"/>
    <w:rsid w:val="000B64E3"/>
    <w:rsid w:val="000B67B3"/>
    <w:rsid w:val="000B68C2"/>
    <w:rsid w:val="000B6AF0"/>
    <w:rsid w:val="000B732A"/>
    <w:rsid w:val="000B7DE2"/>
    <w:rsid w:val="000C02E0"/>
    <w:rsid w:val="000C0362"/>
    <w:rsid w:val="000C0700"/>
    <w:rsid w:val="000C0821"/>
    <w:rsid w:val="000C09A1"/>
    <w:rsid w:val="000C0F74"/>
    <w:rsid w:val="000C0F86"/>
    <w:rsid w:val="000C100B"/>
    <w:rsid w:val="000C144F"/>
    <w:rsid w:val="000C14D6"/>
    <w:rsid w:val="000C16BB"/>
    <w:rsid w:val="000C17B3"/>
    <w:rsid w:val="000C1E62"/>
    <w:rsid w:val="000C211B"/>
    <w:rsid w:val="000C2269"/>
    <w:rsid w:val="000C26FA"/>
    <w:rsid w:val="000C3350"/>
    <w:rsid w:val="000C35FB"/>
    <w:rsid w:val="000C37F1"/>
    <w:rsid w:val="000C3AD2"/>
    <w:rsid w:val="000C3D5F"/>
    <w:rsid w:val="000C4014"/>
    <w:rsid w:val="000C5383"/>
    <w:rsid w:val="000C5CB0"/>
    <w:rsid w:val="000C60EA"/>
    <w:rsid w:val="000C649D"/>
    <w:rsid w:val="000C6B8E"/>
    <w:rsid w:val="000C6C43"/>
    <w:rsid w:val="000C7A6E"/>
    <w:rsid w:val="000C7BCB"/>
    <w:rsid w:val="000C7E99"/>
    <w:rsid w:val="000D0133"/>
    <w:rsid w:val="000D02A9"/>
    <w:rsid w:val="000D02FA"/>
    <w:rsid w:val="000D091A"/>
    <w:rsid w:val="000D0DEF"/>
    <w:rsid w:val="000D1C5D"/>
    <w:rsid w:val="000D243C"/>
    <w:rsid w:val="000D2F37"/>
    <w:rsid w:val="000D3117"/>
    <w:rsid w:val="000D3418"/>
    <w:rsid w:val="000D3B73"/>
    <w:rsid w:val="000D3BD6"/>
    <w:rsid w:val="000D3EEA"/>
    <w:rsid w:val="000D4131"/>
    <w:rsid w:val="000D4781"/>
    <w:rsid w:val="000D4A25"/>
    <w:rsid w:val="000D4B19"/>
    <w:rsid w:val="000D531E"/>
    <w:rsid w:val="000D5553"/>
    <w:rsid w:val="000D55EB"/>
    <w:rsid w:val="000D5723"/>
    <w:rsid w:val="000D5CCD"/>
    <w:rsid w:val="000D67AB"/>
    <w:rsid w:val="000D6E25"/>
    <w:rsid w:val="000D6FA8"/>
    <w:rsid w:val="000D755F"/>
    <w:rsid w:val="000D7ADE"/>
    <w:rsid w:val="000E081C"/>
    <w:rsid w:val="000E1009"/>
    <w:rsid w:val="000E139D"/>
    <w:rsid w:val="000E1D1E"/>
    <w:rsid w:val="000E1EC8"/>
    <w:rsid w:val="000E2DEB"/>
    <w:rsid w:val="000E2E09"/>
    <w:rsid w:val="000E3740"/>
    <w:rsid w:val="000E3CAE"/>
    <w:rsid w:val="000E47B6"/>
    <w:rsid w:val="000E4B4A"/>
    <w:rsid w:val="000E4E67"/>
    <w:rsid w:val="000E509A"/>
    <w:rsid w:val="000E5412"/>
    <w:rsid w:val="000E5887"/>
    <w:rsid w:val="000E5B8F"/>
    <w:rsid w:val="000E5BEC"/>
    <w:rsid w:val="000E5CE6"/>
    <w:rsid w:val="000E61B0"/>
    <w:rsid w:val="000E627C"/>
    <w:rsid w:val="000E651D"/>
    <w:rsid w:val="000E6ABF"/>
    <w:rsid w:val="000E6ADB"/>
    <w:rsid w:val="000E6CDF"/>
    <w:rsid w:val="000E73D4"/>
    <w:rsid w:val="000E76C5"/>
    <w:rsid w:val="000F0106"/>
    <w:rsid w:val="000F0C1C"/>
    <w:rsid w:val="000F10B3"/>
    <w:rsid w:val="000F1640"/>
    <w:rsid w:val="000F1D1D"/>
    <w:rsid w:val="000F1EAD"/>
    <w:rsid w:val="000F2332"/>
    <w:rsid w:val="000F2CE3"/>
    <w:rsid w:val="000F2F07"/>
    <w:rsid w:val="000F2F10"/>
    <w:rsid w:val="000F2F5A"/>
    <w:rsid w:val="000F34E4"/>
    <w:rsid w:val="000F35C8"/>
    <w:rsid w:val="000F36C9"/>
    <w:rsid w:val="000F3862"/>
    <w:rsid w:val="000F3F6B"/>
    <w:rsid w:val="000F4046"/>
    <w:rsid w:val="000F42CB"/>
    <w:rsid w:val="000F45F8"/>
    <w:rsid w:val="000F48CC"/>
    <w:rsid w:val="000F51C7"/>
    <w:rsid w:val="000F6177"/>
    <w:rsid w:val="000F6320"/>
    <w:rsid w:val="000F63E8"/>
    <w:rsid w:val="000F647B"/>
    <w:rsid w:val="000F6BE1"/>
    <w:rsid w:val="000F7AD8"/>
    <w:rsid w:val="000F7AF4"/>
    <w:rsid w:val="001003D9"/>
    <w:rsid w:val="00100B1D"/>
    <w:rsid w:val="0010104B"/>
    <w:rsid w:val="0010150C"/>
    <w:rsid w:val="00101683"/>
    <w:rsid w:val="0010182A"/>
    <w:rsid w:val="00101F09"/>
    <w:rsid w:val="00102116"/>
    <w:rsid w:val="001024E4"/>
    <w:rsid w:val="00102CAF"/>
    <w:rsid w:val="0010396C"/>
    <w:rsid w:val="00103999"/>
    <w:rsid w:val="00103D88"/>
    <w:rsid w:val="00103EFC"/>
    <w:rsid w:val="0010436C"/>
    <w:rsid w:val="00105646"/>
    <w:rsid w:val="00105E45"/>
    <w:rsid w:val="001060D9"/>
    <w:rsid w:val="00106271"/>
    <w:rsid w:val="00106304"/>
    <w:rsid w:val="00106A32"/>
    <w:rsid w:val="00107443"/>
    <w:rsid w:val="001074E8"/>
    <w:rsid w:val="001103ED"/>
    <w:rsid w:val="00110952"/>
    <w:rsid w:val="00110FEA"/>
    <w:rsid w:val="001116B1"/>
    <w:rsid w:val="00112A8D"/>
    <w:rsid w:val="00112D56"/>
    <w:rsid w:val="00112D84"/>
    <w:rsid w:val="00113371"/>
    <w:rsid w:val="00114080"/>
    <w:rsid w:val="001141D9"/>
    <w:rsid w:val="0011478D"/>
    <w:rsid w:val="00114865"/>
    <w:rsid w:val="0011554B"/>
    <w:rsid w:val="00115551"/>
    <w:rsid w:val="00115767"/>
    <w:rsid w:val="00115B67"/>
    <w:rsid w:val="00115FE8"/>
    <w:rsid w:val="00116060"/>
    <w:rsid w:val="001161B7"/>
    <w:rsid w:val="00116496"/>
    <w:rsid w:val="00116C32"/>
    <w:rsid w:val="001172E8"/>
    <w:rsid w:val="0011754D"/>
    <w:rsid w:val="00117F79"/>
    <w:rsid w:val="00120742"/>
    <w:rsid w:val="00120A18"/>
    <w:rsid w:val="00120B4E"/>
    <w:rsid w:val="00121297"/>
    <w:rsid w:val="001213F1"/>
    <w:rsid w:val="00121578"/>
    <w:rsid w:val="0012168B"/>
    <w:rsid w:val="001226EF"/>
    <w:rsid w:val="001228ED"/>
    <w:rsid w:val="00124174"/>
    <w:rsid w:val="001247B4"/>
    <w:rsid w:val="001258FF"/>
    <w:rsid w:val="00125C50"/>
    <w:rsid w:val="00125FF9"/>
    <w:rsid w:val="00126929"/>
    <w:rsid w:val="00127B48"/>
    <w:rsid w:val="0013007F"/>
    <w:rsid w:val="0013020F"/>
    <w:rsid w:val="0013139C"/>
    <w:rsid w:val="0013163D"/>
    <w:rsid w:val="00131C3E"/>
    <w:rsid w:val="001320F0"/>
    <w:rsid w:val="001323F7"/>
    <w:rsid w:val="001329E3"/>
    <w:rsid w:val="00133745"/>
    <w:rsid w:val="00133B08"/>
    <w:rsid w:val="001343C7"/>
    <w:rsid w:val="001343D5"/>
    <w:rsid w:val="00134708"/>
    <w:rsid w:val="00134926"/>
    <w:rsid w:val="00134939"/>
    <w:rsid w:val="00134D04"/>
    <w:rsid w:val="001350B9"/>
    <w:rsid w:val="001355AB"/>
    <w:rsid w:val="00135FAC"/>
    <w:rsid w:val="00136100"/>
    <w:rsid w:val="001361DD"/>
    <w:rsid w:val="00136620"/>
    <w:rsid w:val="00136621"/>
    <w:rsid w:val="00136DE6"/>
    <w:rsid w:val="0013712F"/>
    <w:rsid w:val="00137F4E"/>
    <w:rsid w:val="00140C67"/>
    <w:rsid w:val="00141676"/>
    <w:rsid w:val="00142A70"/>
    <w:rsid w:val="00142ACD"/>
    <w:rsid w:val="001432A0"/>
    <w:rsid w:val="0014341D"/>
    <w:rsid w:val="001435CD"/>
    <w:rsid w:val="00143770"/>
    <w:rsid w:val="001439DF"/>
    <w:rsid w:val="0014436A"/>
    <w:rsid w:val="00144733"/>
    <w:rsid w:val="001449F4"/>
    <w:rsid w:val="00144AC7"/>
    <w:rsid w:val="00144E11"/>
    <w:rsid w:val="00144E34"/>
    <w:rsid w:val="001453F7"/>
    <w:rsid w:val="001454EB"/>
    <w:rsid w:val="00145B83"/>
    <w:rsid w:val="00145B9B"/>
    <w:rsid w:val="00145D31"/>
    <w:rsid w:val="001462CB"/>
    <w:rsid w:val="001465CB"/>
    <w:rsid w:val="001466BC"/>
    <w:rsid w:val="00146EA2"/>
    <w:rsid w:val="00146FC0"/>
    <w:rsid w:val="00147410"/>
    <w:rsid w:val="001475A4"/>
    <w:rsid w:val="00147AF7"/>
    <w:rsid w:val="00150525"/>
    <w:rsid w:val="00150650"/>
    <w:rsid w:val="001508B5"/>
    <w:rsid w:val="00151575"/>
    <w:rsid w:val="00151881"/>
    <w:rsid w:val="00151B38"/>
    <w:rsid w:val="00151C56"/>
    <w:rsid w:val="00152F39"/>
    <w:rsid w:val="00152F63"/>
    <w:rsid w:val="00153244"/>
    <w:rsid w:val="00153284"/>
    <w:rsid w:val="0015372E"/>
    <w:rsid w:val="001538E3"/>
    <w:rsid w:val="001546EA"/>
    <w:rsid w:val="001547A6"/>
    <w:rsid w:val="00154A6F"/>
    <w:rsid w:val="00154C98"/>
    <w:rsid w:val="00154E6D"/>
    <w:rsid w:val="00154FD5"/>
    <w:rsid w:val="00155846"/>
    <w:rsid w:val="00155CC0"/>
    <w:rsid w:val="00156BF0"/>
    <w:rsid w:val="00157021"/>
    <w:rsid w:val="001572D1"/>
    <w:rsid w:val="001573E1"/>
    <w:rsid w:val="0015799A"/>
    <w:rsid w:val="00157CA5"/>
    <w:rsid w:val="00160130"/>
    <w:rsid w:val="001606B7"/>
    <w:rsid w:val="0016071C"/>
    <w:rsid w:val="00160A81"/>
    <w:rsid w:val="00160BD7"/>
    <w:rsid w:val="00160D02"/>
    <w:rsid w:val="0016144B"/>
    <w:rsid w:val="001618CF"/>
    <w:rsid w:val="001622F9"/>
    <w:rsid w:val="001627FC"/>
    <w:rsid w:val="00163323"/>
    <w:rsid w:val="00164273"/>
    <w:rsid w:val="0016447E"/>
    <w:rsid w:val="001645F1"/>
    <w:rsid w:val="0016487C"/>
    <w:rsid w:val="00164E2B"/>
    <w:rsid w:val="00165651"/>
    <w:rsid w:val="00165B1F"/>
    <w:rsid w:val="00165F13"/>
    <w:rsid w:val="00166075"/>
    <w:rsid w:val="00166433"/>
    <w:rsid w:val="00166DD5"/>
    <w:rsid w:val="0016795C"/>
    <w:rsid w:val="001679DC"/>
    <w:rsid w:val="00167C4B"/>
    <w:rsid w:val="00170125"/>
    <w:rsid w:val="0017027F"/>
    <w:rsid w:val="0017087E"/>
    <w:rsid w:val="00171AB9"/>
    <w:rsid w:val="00172180"/>
    <w:rsid w:val="00172318"/>
    <w:rsid w:val="00172895"/>
    <w:rsid w:val="0017298C"/>
    <w:rsid w:val="00172BDD"/>
    <w:rsid w:val="00173209"/>
    <w:rsid w:val="00173268"/>
    <w:rsid w:val="00173AFF"/>
    <w:rsid w:val="00173BE4"/>
    <w:rsid w:val="00173C71"/>
    <w:rsid w:val="00174224"/>
    <w:rsid w:val="0017431C"/>
    <w:rsid w:val="00174703"/>
    <w:rsid w:val="001748B2"/>
    <w:rsid w:val="00174C92"/>
    <w:rsid w:val="00174EEA"/>
    <w:rsid w:val="00175125"/>
    <w:rsid w:val="00175E82"/>
    <w:rsid w:val="00175F57"/>
    <w:rsid w:val="00176BC3"/>
    <w:rsid w:val="00176E61"/>
    <w:rsid w:val="00176F47"/>
    <w:rsid w:val="00177442"/>
    <w:rsid w:val="00177939"/>
    <w:rsid w:val="00177C7A"/>
    <w:rsid w:val="00180272"/>
    <w:rsid w:val="00180280"/>
    <w:rsid w:val="001805B2"/>
    <w:rsid w:val="001809F8"/>
    <w:rsid w:val="001811E1"/>
    <w:rsid w:val="0018168E"/>
    <w:rsid w:val="0018173B"/>
    <w:rsid w:val="00181A6D"/>
    <w:rsid w:val="001824A7"/>
    <w:rsid w:val="00182604"/>
    <w:rsid w:val="001827A6"/>
    <w:rsid w:val="00182943"/>
    <w:rsid w:val="00183352"/>
    <w:rsid w:val="00183528"/>
    <w:rsid w:val="00183664"/>
    <w:rsid w:val="00183966"/>
    <w:rsid w:val="00183D50"/>
    <w:rsid w:val="00184294"/>
    <w:rsid w:val="0018505E"/>
    <w:rsid w:val="00185494"/>
    <w:rsid w:val="00185582"/>
    <w:rsid w:val="00185E55"/>
    <w:rsid w:val="00185F1A"/>
    <w:rsid w:val="0018645A"/>
    <w:rsid w:val="0018715D"/>
    <w:rsid w:val="00187210"/>
    <w:rsid w:val="00187575"/>
    <w:rsid w:val="00187A3C"/>
    <w:rsid w:val="00187DD1"/>
    <w:rsid w:val="001901AC"/>
    <w:rsid w:val="0019053A"/>
    <w:rsid w:val="001907D8"/>
    <w:rsid w:val="0019088F"/>
    <w:rsid w:val="00190CE4"/>
    <w:rsid w:val="00191742"/>
    <w:rsid w:val="00192101"/>
    <w:rsid w:val="0019242B"/>
    <w:rsid w:val="00192BA2"/>
    <w:rsid w:val="00193550"/>
    <w:rsid w:val="00193E75"/>
    <w:rsid w:val="0019400A"/>
    <w:rsid w:val="001940E6"/>
    <w:rsid w:val="001946CA"/>
    <w:rsid w:val="00194D1A"/>
    <w:rsid w:val="001953B5"/>
    <w:rsid w:val="00195E5E"/>
    <w:rsid w:val="00195EAD"/>
    <w:rsid w:val="00196545"/>
    <w:rsid w:val="00196B41"/>
    <w:rsid w:val="0019712E"/>
    <w:rsid w:val="001A0DD8"/>
    <w:rsid w:val="001A1238"/>
    <w:rsid w:val="001A12AC"/>
    <w:rsid w:val="001A14D0"/>
    <w:rsid w:val="001A14EA"/>
    <w:rsid w:val="001A2211"/>
    <w:rsid w:val="001A2C2C"/>
    <w:rsid w:val="001A2C4F"/>
    <w:rsid w:val="001A312A"/>
    <w:rsid w:val="001A31FE"/>
    <w:rsid w:val="001A3716"/>
    <w:rsid w:val="001A3D79"/>
    <w:rsid w:val="001A3E78"/>
    <w:rsid w:val="001A419A"/>
    <w:rsid w:val="001A4270"/>
    <w:rsid w:val="001A4A61"/>
    <w:rsid w:val="001A4B10"/>
    <w:rsid w:val="001A576D"/>
    <w:rsid w:val="001A594B"/>
    <w:rsid w:val="001A5C0A"/>
    <w:rsid w:val="001A60EB"/>
    <w:rsid w:val="001A664B"/>
    <w:rsid w:val="001A6C96"/>
    <w:rsid w:val="001A724F"/>
    <w:rsid w:val="001A7A86"/>
    <w:rsid w:val="001A7B0D"/>
    <w:rsid w:val="001A7BE1"/>
    <w:rsid w:val="001A7DD5"/>
    <w:rsid w:val="001B0126"/>
    <w:rsid w:val="001B01EC"/>
    <w:rsid w:val="001B0212"/>
    <w:rsid w:val="001B04DD"/>
    <w:rsid w:val="001B0FE7"/>
    <w:rsid w:val="001B1178"/>
    <w:rsid w:val="001B12CF"/>
    <w:rsid w:val="001B181C"/>
    <w:rsid w:val="001B1FBE"/>
    <w:rsid w:val="001B2342"/>
    <w:rsid w:val="001B2D9C"/>
    <w:rsid w:val="001B334B"/>
    <w:rsid w:val="001B3752"/>
    <w:rsid w:val="001B3ED1"/>
    <w:rsid w:val="001B40BA"/>
    <w:rsid w:val="001B46D6"/>
    <w:rsid w:val="001B48DF"/>
    <w:rsid w:val="001B4A79"/>
    <w:rsid w:val="001B5A91"/>
    <w:rsid w:val="001B5CB4"/>
    <w:rsid w:val="001B6D37"/>
    <w:rsid w:val="001B6FCB"/>
    <w:rsid w:val="001B6FED"/>
    <w:rsid w:val="001B782D"/>
    <w:rsid w:val="001B79C9"/>
    <w:rsid w:val="001C0F06"/>
    <w:rsid w:val="001C19D4"/>
    <w:rsid w:val="001C1B1B"/>
    <w:rsid w:val="001C3026"/>
    <w:rsid w:val="001C32D7"/>
    <w:rsid w:val="001C3478"/>
    <w:rsid w:val="001C384E"/>
    <w:rsid w:val="001C3B67"/>
    <w:rsid w:val="001C4225"/>
    <w:rsid w:val="001C4902"/>
    <w:rsid w:val="001C4A42"/>
    <w:rsid w:val="001C4A4D"/>
    <w:rsid w:val="001C5350"/>
    <w:rsid w:val="001C5488"/>
    <w:rsid w:val="001C5952"/>
    <w:rsid w:val="001C5D6C"/>
    <w:rsid w:val="001C6023"/>
    <w:rsid w:val="001C65C5"/>
    <w:rsid w:val="001C675C"/>
    <w:rsid w:val="001C6B29"/>
    <w:rsid w:val="001C6F39"/>
    <w:rsid w:val="001C78AF"/>
    <w:rsid w:val="001C7AFD"/>
    <w:rsid w:val="001C7C2F"/>
    <w:rsid w:val="001C7E8A"/>
    <w:rsid w:val="001D01DF"/>
    <w:rsid w:val="001D02DD"/>
    <w:rsid w:val="001D0845"/>
    <w:rsid w:val="001D097E"/>
    <w:rsid w:val="001D0C7D"/>
    <w:rsid w:val="001D0DE7"/>
    <w:rsid w:val="001D206D"/>
    <w:rsid w:val="001D222B"/>
    <w:rsid w:val="001D22A5"/>
    <w:rsid w:val="001D3424"/>
    <w:rsid w:val="001D3679"/>
    <w:rsid w:val="001D368F"/>
    <w:rsid w:val="001D37BC"/>
    <w:rsid w:val="001D3C04"/>
    <w:rsid w:val="001D5CDC"/>
    <w:rsid w:val="001D5DDD"/>
    <w:rsid w:val="001D6293"/>
    <w:rsid w:val="001D62F1"/>
    <w:rsid w:val="001D64F9"/>
    <w:rsid w:val="001D6DDA"/>
    <w:rsid w:val="001D7125"/>
    <w:rsid w:val="001D72BB"/>
    <w:rsid w:val="001D7A52"/>
    <w:rsid w:val="001E0F31"/>
    <w:rsid w:val="001E0F45"/>
    <w:rsid w:val="001E123F"/>
    <w:rsid w:val="001E1273"/>
    <w:rsid w:val="001E1D4C"/>
    <w:rsid w:val="001E1FEA"/>
    <w:rsid w:val="001E21F1"/>
    <w:rsid w:val="001E2832"/>
    <w:rsid w:val="001E3105"/>
    <w:rsid w:val="001E352E"/>
    <w:rsid w:val="001E3917"/>
    <w:rsid w:val="001E3920"/>
    <w:rsid w:val="001E3C6D"/>
    <w:rsid w:val="001E43B6"/>
    <w:rsid w:val="001E4A63"/>
    <w:rsid w:val="001E4BA2"/>
    <w:rsid w:val="001E4D81"/>
    <w:rsid w:val="001E503C"/>
    <w:rsid w:val="001E5594"/>
    <w:rsid w:val="001E672A"/>
    <w:rsid w:val="001E6A78"/>
    <w:rsid w:val="001E6BC8"/>
    <w:rsid w:val="001E7E9B"/>
    <w:rsid w:val="001F06A2"/>
    <w:rsid w:val="001F093C"/>
    <w:rsid w:val="001F0EED"/>
    <w:rsid w:val="001F1909"/>
    <w:rsid w:val="001F28D3"/>
    <w:rsid w:val="001F2CE1"/>
    <w:rsid w:val="001F37A9"/>
    <w:rsid w:val="001F39A2"/>
    <w:rsid w:val="001F3A86"/>
    <w:rsid w:val="001F3ED3"/>
    <w:rsid w:val="001F48E3"/>
    <w:rsid w:val="001F4F28"/>
    <w:rsid w:val="001F511A"/>
    <w:rsid w:val="001F5959"/>
    <w:rsid w:val="001F6630"/>
    <w:rsid w:val="001F766C"/>
    <w:rsid w:val="001F77D0"/>
    <w:rsid w:val="001F7803"/>
    <w:rsid w:val="001F7841"/>
    <w:rsid w:val="001F7AF6"/>
    <w:rsid w:val="001F7D46"/>
    <w:rsid w:val="001F7E1B"/>
    <w:rsid w:val="0020015D"/>
    <w:rsid w:val="00201610"/>
    <w:rsid w:val="00201C44"/>
    <w:rsid w:val="0020225B"/>
    <w:rsid w:val="00202CE5"/>
    <w:rsid w:val="00202DF2"/>
    <w:rsid w:val="0020300F"/>
    <w:rsid w:val="00203219"/>
    <w:rsid w:val="00203C1A"/>
    <w:rsid w:val="002050F7"/>
    <w:rsid w:val="00205FB7"/>
    <w:rsid w:val="00206218"/>
    <w:rsid w:val="002063C8"/>
    <w:rsid w:val="002064A0"/>
    <w:rsid w:val="00206E79"/>
    <w:rsid w:val="002109C0"/>
    <w:rsid w:val="00210C7A"/>
    <w:rsid w:val="00210EF6"/>
    <w:rsid w:val="002111CD"/>
    <w:rsid w:val="002112D5"/>
    <w:rsid w:val="00211F71"/>
    <w:rsid w:val="0021281E"/>
    <w:rsid w:val="00212B39"/>
    <w:rsid w:val="00212DB4"/>
    <w:rsid w:val="00213B61"/>
    <w:rsid w:val="00214196"/>
    <w:rsid w:val="002145AE"/>
    <w:rsid w:val="002162E0"/>
    <w:rsid w:val="00216870"/>
    <w:rsid w:val="00217DE6"/>
    <w:rsid w:val="00220327"/>
    <w:rsid w:val="0022044E"/>
    <w:rsid w:val="0022089D"/>
    <w:rsid w:val="002209E1"/>
    <w:rsid w:val="00220F33"/>
    <w:rsid w:val="0022113C"/>
    <w:rsid w:val="00221610"/>
    <w:rsid w:val="0022180B"/>
    <w:rsid w:val="00221CB5"/>
    <w:rsid w:val="00221E2C"/>
    <w:rsid w:val="00222E38"/>
    <w:rsid w:val="002230E5"/>
    <w:rsid w:val="00223441"/>
    <w:rsid w:val="002236F6"/>
    <w:rsid w:val="00223D9F"/>
    <w:rsid w:val="002246A6"/>
    <w:rsid w:val="00224ABC"/>
    <w:rsid w:val="00224D10"/>
    <w:rsid w:val="00225522"/>
    <w:rsid w:val="002255E2"/>
    <w:rsid w:val="0022561E"/>
    <w:rsid w:val="00226C94"/>
    <w:rsid w:val="002279F7"/>
    <w:rsid w:val="00230442"/>
    <w:rsid w:val="00231076"/>
    <w:rsid w:val="002313BA"/>
    <w:rsid w:val="00231FB8"/>
    <w:rsid w:val="0023292D"/>
    <w:rsid w:val="00233113"/>
    <w:rsid w:val="002337B2"/>
    <w:rsid w:val="00233EBA"/>
    <w:rsid w:val="00234455"/>
    <w:rsid w:val="002344F4"/>
    <w:rsid w:val="00234A38"/>
    <w:rsid w:val="00234B2B"/>
    <w:rsid w:val="002351AD"/>
    <w:rsid w:val="00235279"/>
    <w:rsid w:val="00235C9B"/>
    <w:rsid w:val="00235D6F"/>
    <w:rsid w:val="00236278"/>
    <w:rsid w:val="002362EA"/>
    <w:rsid w:val="002364F4"/>
    <w:rsid w:val="00240289"/>
    <w:rsid w:val="00241112"/>
    <w:rsid w:val="0024178D"/>
    <w:rsid w:val="00241E44"/>
    <w:rsid w:val="002422B9"/>
    <w:rsid w:val="0024273E"/>
    <w:rsid w:val="00242D48"/>
    <w:rsid w:val="0024362C"/>
    <w:rsid w:val="002440D6"/>
    <w:rsid w:val="00244435"/>
    <w:rsid w:val="00245179"/>
    <w:rsid w:val="00245263"/>
    <w:rsid w:val="002457A3"/>
    <w:rsid w:val="002459D2"/>
    <w:rsid w:val="00245CDB"/>
    <w:rsid w:val="002462CC"/>
    <w:rsid w:val="0024631F"/>
    <w:rsid w:val="002465A0"/>
    <w:rsid w:val="00246D3F"/>
    <w:rsid w:val="0025013D"/>
    <w:rsid w:val="00250BEC"/>
    <w:rsid w:val="00250CB1"/>
    <w:rsid w:val="00250D6B"/>
    <w:rsid w:val="00250D7F"/>
    <w:rsid w:val="002511A8"/>
    <w:rsid w:val="00251676"/>
    <w:rsid w:val="002519E9"/>
    <w:rsid w:val="00251C6B"/>
    <w:rsid w:val="00251E14"/>
    <w:rsid w:val="00252219"/>
    <w:rsid w:val="00252728"/>
    <w:rsid w:val="00252AF4"/>
    <w:rsid w:val="00252F6C"/>
    <w:rsid w:val="002534B1"/>
    <w:rsid w:val="00253823"/>
    <w:rsid w:val="00253CCB"/>
    <w:rsid w:val="00253FF8"/>
    <w:rsid w:val="002540DD"/>
    <w:rsid w:val="0025436C"/>
    <w:rsid w:val="002546D1"/>
    <w:rsid w:val="00254A11"/>
    <w:rsid w:val="00254ACA"/>
    <w:rsid w:val="00254B03"/>
    <w:rsid w:val="002562C9"/>
    <w:rsid w:val="002564DE"/>
    <w:rsid w:val="00256D21"/>
    <w:rsid w:val="00256FB8"/>
    <w:rsid w:val="002575E7"/>
    <w:rsid w:val="00257710"/>
    <w:rsid w:val="002601C5"/>
    <w:rsid w:val="00260960"/>
    <w:rsid w:val="00260AEE"/>
    <w:rsid w:val="00260C6A"/>
    <w:rsid w:val="00260E25"/>
    <w:rsid w:val="00260E40"/>
    <w:rsid w:val="002612B8"/>
    <w:rsid w:val="002614E1"/>
    <w:rsid w:val="00261957"/>
    <w:rsid w:val="00261B31"/>
    <w:rsid w:val="00261C2F"/>
    <w:rsid w:val="00261D00"/>
    <w:rsid w:val="00262AC5"/>
    <w:rsid w:val="0026301B"/>
    <w:rsid w:val="00263024"/>
    <w:rsid w:val="00263B07"/>
    <w:rsid w:val="00263BD7"/>
    <w:rsid w:val="002641F0"/>
    <w:rsid w:val="00264B51"/>
    <w:rsid w:val="00264BE0"/>
    <w:rsid w:val="00264D40"/>
    <w:rsid w:val="00265D58"/>
    <w:rsid w:val="00265E46"/>
    <w:rsid w:val="00265EBC"/>
    <w:rsid w:val="002660C1"/>
    <w:rsid w:val="002660FB"/>
    <w:rsid w:val="0026644C"/>
    <w:rsid w:val="00266CF0"/>
    <w:rsid w:val="002675F0"/>
    <w:rsid w:val="00267614"/>
    <w:rsid w:val="00267CA3"/>
    <w:rsid w:val="00270749"/>
    <w:rsid w:val="00270832"/>
    <w:rsid w:val="00270E80"/>
    <w:rsid w:val="00271461"/>
    <w:rsid w:val="002720AF"/>
    <w:rsid w:val="00272203"/>
    <w:rsid w:val="0027228C"/>
    <w:rsid w:val="002728B7"/>
    <w:rsid w:val="00272A0D"/>
    <w:rsid w:val="00272CA6"/>
    <w:rsid w:val="002744AA"/>
    <w:rsid w:val="002749E6"/>
    <w:rsid w:val="00274DE5"/>
    <w:rsid w:val="0027530D"/>
    <w:rsid w:val="0027561C"/>
    <w:rsid w:val="00275B0A"/>
    <w:rsid w:val="00275B30"/>
    <w:rsid w:val="00275C14"/>
    <w:rsid w:val="002761BB"/>
    <w:rsid w:val="002768C1"/>
    <w:rsid w:val="002773D2"/>
    <w:rsid w:val="0027766F"/>
    <w:rsid w:val="00277A65"/>
    <w:rsid w:val="00277B57"/>
    <w:rsid w:val="002803A9"/>
    <w:rsid w:val="002803D0"/>
    <w:rsid w:val="002804E1"/>
    <w:rsid w:val="0028085B"/>
    <w:rsid w:val="00280A1B"/>
    <w:rsid w:val="002814C6"/>
    <w:rsid w:val="00281EA3"/>
    <w:rsid w:val="00281F02"/>
    <w:rsid w:val="00281FC0"/>
    <w:rsid w:val="0028220F"/>
    <w:rsid w:val="002825F2"/>
    <w:rsid w:val="00282821"/>
    <w:rsid w:val="00282F91"/>
    <w:rsid w:val="0028383D"/>
    <w:rsid w:val="002841DD"/>
    <w:rsid w:val="00284499"/>
    <w:rsid w:val="002850FD"/>
    <w:rsid w:val="00285B63"/>
    <w:rsid w:val="00285CFD"/>
    <w:rsid w:val="0028627B"/>
    <w:rsid w:val="00286696"/>
    <w:rsid w:val="00286B7A"/>
    <w:rsid w:val="00286F05"/>
    <w:rsid w:val="002872F2"/>
    <w:rsid w:val="0028749A"/>
    <w:rsid w:val="00287533"/>
    <w:rsid w:val="002876FD"/>
    <w:rsid w:val="00287994"/>
    <w:rsid w:val="00287B4B"/>
    <w:rsid w:val="002915FF"/>
    <w:rsid w:val="00291939"/>
    <w:rsid w:val="00292B2A"/>
    <w:rsid w:val="00292E40"/>
    <w:rsid w:val="00293013"/>
    <w:rsid w:val="00293483"/>
    <w:rsid w:val="00293840"/>
    <w:rsid w:val="00295567"/>
    <w:rsid w:val="00296094"/>
    <w:rsid w:val="0029638E"/>
    <w:rsid w:val="002968CA"/>
    <w:rsid w:val="00296B53"/>
    <w:rsid w:val="00296D5F"/>
    <w:rsid w:val="00297389"/>
    <w:rsid w:val="00297708"/>
    <w:rsid w:val="002978EC"/>
    <w:rsid w:val="00297B53"/>
    <w:rsid w:val="002A0063"/>
    <w:rsid w:val="002A0B2A"/>
    <w:rsid w:val="002A13F4"/>
    <w:rsid w:val="002A2C12"/>
    <w:rsid w:val="002A2FE6"/>
    <w:rsid w:val="002A3392"/>
    <w:rsid w:val="002A3B1A"/>
    <w:rsid w:val="002A424F"/>
    <w:rsid w:val="002A4325"/>
    <w:rsid w:val="002A4413"/>
    <w:rsid w:val="002A4EF8"/>
    <w:rsid w:val="002A5405"/>
    <w:rsid w:val="002A545D"/>
    <w:rsid w:val="002A5721"/>
    <w:rsid w:val="002A586B"/>
    <w:rsid w:val="002A644D"/>
    <w:rsid w:val="002A6648"/>
    <w:rsid w:val="002A6FDD"/>
    <w:rsid w:val="002A77C0"/>
    <w:rsid w:val="002A7BBB"/>
    <w:rsid w:val="002A7E34"/>
    <w:rsid w:val="002B07AF"/>
    <w:rsid w:val="002B07B0"/>
    <w:rsid w:val="002B0899"/>
    <w:rsid w:val="002B0AC8"/>
    <w:rsid w:val="002B0F8B"/>
    <w:rsid w:val="002B10F1"/>
    <w:rsid w:val="002B131E"/>
    <w:rsid w:val="002B18CF"/>
    <w:rsid w:val="002B1DF4"/>
    <w:rsid w:val="002B1FA7"/>
    <w:rsid w:val="002B20D9"/>
    <w:rsid w:val="002B2652"/>
    <w:rsid w:val="002B3699"/>
    <w:rsid w:val="002B391A"/>
    <w:rsid w:val="002B3A02"/>
    <w:rsid w:val="002B432E"/>
    <w:rsid w:val="002B476F"/>
    <w:rsid w:val="002B4A74"/>
    <w:rsid w:val="002B4D1F"/>
    <w:rsid w:val="002B508F"/>
    <w:rsid w:val="002B538A"/>
    <w:rsid w:val="002B5A6A"/>
    <w:rsid w:val="002B5ADB"/>
    <w:rsid w:val="002B5E26"/>
    <w:rsid w:val="002B5FA3"/>
    <w:rsid w:val="002B66DA"/>
    <w:rsid w:val="002B6AC6"/>
    <w:rsid w:val="002B6E8A"/>
    <w:rsid w:val="002B761B"/>
    <w:rsid w:val="002B7672"/>
    <w:rsid w:val="002B79EE"/>
    <w:rsid w:val="002B7AB4"/>
    <w:rsid w:val="002C0585"/>
    <w:rsid w:val="002C0724"/>
    <w:rsid w:val="002C1721"/>
    <w:rsid w:val="002C1BE7"/>
    <w:rsid w:val="002C2829"/>
    <w:rsid w:val="002C2A68"/>
    <w:rsid w:val="002C2B86"/>
    <w:rsid w:val="002C2D71"/>
    <w:rsid w:val="002C2DAB"/>
    <w:rsid w:val="002C3028"/>
    <w:rsid w:val="002C3167"/>
    <w:rsid w:val="002C32D3"/>
    <w:rsid w:val="002C3C8F"/>
    <w:rsid w:val="002C4174"/>
    <w:rsid w:val="002C4F8B"/>
    <w:rsid w:val="002C4FF5"/>
    <w:rsid w:val="002C54B5"/>
    <w:rsid w:val="002C5837"/>
    <w:rsid w:val="002C5969"/>
    <w:rsid w:val="002C5F70"/>
    <w:rsid w:val="002C61D8"/>
    <w:rsid w:val="002C65DD"/>
    <w:rsid w:val="002C683B"/>
    <w:rsid w:val="002C691E"/>
    <w:rsid w:val="002C6A1B"/>
    <w:rsid w:val="002C6C22"/>
    <w:rsid w:val="002C70DE"/>
    <w:rsid w:val="002C739A"/>
    <w:rsid w:val="002C7400"/>
    <w:rsid w:val="002C7707"/>
    <w:rsid w:val="002C7C42"/>
    <w:rsid w:val="002C7FC9"/>
    <w:rsid w:val="002D0194"/>
    <w:rsid w:val="002D0299"/>
    <w:rsid w:val="002D0AC1"/>
    <w:rsid w:val="002D0B25"/>
    <w:rsid w:val="002D0BAC"/>
    <w:rsid w:val="002D122F"/>
    <w:rsid w:val="002D159A"/>
    <w:rsid w:val="002D1977"/>
    <w:rsid w:val="002D221D"/>
    <w:rsid w:val="002D22EE"/>
    <w:rsid w:val="002D33AD"/>
    <w:rsid w:val="002D38D2"/>
    <w:rsid w:val="002D3BE3"/>
    <w:rsid w:val="002D434D"/>
    <w:rsid w:val="002D44CF"/>
    <w:rsid w:val="002D44F0"/>
    <w:rsid w:val="002D4DC1"/>
    <w:rsid w:val="002D4F26"/>
    <w:rsid w:val="002D5707"/>
    <w:rsid w:val="002D6D5A"/>
    <w:rsid w:val="002D7037"/>
    <w:rsid w:val="002D7208"/>
    <w:rsid w:val="002D7707"/>
    <w:rsid w:val="002D798B"/>
    <w:rsid w:val="002D7B5B"/>
    <w:rsid w:val="002E1052"/>
    <w:rsid w:val="002E1720"/>
    <w:rsid w:val="002E18E6"/>
    <w:rsid w:val="002E1A51"/>
    <w:rsid w:val="002E1AD8"/>
    <w:rsid w:val="002E1E8E"/>
    <w:rsid w:val="002E21FA"/>
    <w:rsid w:val="002E243C"/>
    <w:rsid w:val="002E2DC0"/>
    <w:rsid w:val="002E2E32"/>
    <w:rsid w:val="002E3351"/>
    <w:rsid w:val="002E3713"/>
    <w:rsid w:val="002E381C"/>
    <w:rsid w:val="002E4390"/>
    <w:rsid w:val="002E4725"/>
    <w:rsid w:val="002E4A23"/>
    <w:rsid w:val="002E62FD"/>
    <w:rsid w:val="002E6735"/>
    <w:rsid w:val="002E699B"/>
    <w:rsid w:val="002E6BD0"/>
    <w:rsid w:val="002E6E61"/>
    <w:rsid w:val="002E6F62"/>
    <w:rsid w:val="002E7079"/>
    <w:rsid w:val="002E70FF"/>
    <w:rsid w:val="002E77D0"/>
    <w:rsid w:val="002F025B"/>
    <w:rsid w:val="002F0960"/>
    <w:rsid w:val="002F0A57"/>
    <w:rsid w:val="002F0C36"/>
    <w:rsid w:val="002F10E5"/>
    <w:rsid w:val="002F1971"/>
    <w:rsid w:val="002F1DF5"/>
    <w:rsid w:val="002F1E52"/>
    <w:rsid w:val="002F2662"/>
    <w:rsid w:val="002F291E"/>
    <w:rsid w:val="002F2CDE"/>
    <w:rsid w:val="002F3A9F"/>
    <w:rsid w:val="002F4174"/>
    <w:rsid w:val="002F4197"/>
    <w:rsid w:val="002F435C"/>
    <w:rsid w:val="002F43F2"/>
    <w:rsid w:val="002F4BBB"/>
    <w:rsid w:val="002F4E98"/>
    <w:rsid w:val="002F57A3"/>
    <w:rsid w:val="002F5B6F"/>
    <w:rsid w:val="002F5FF5"/>
    <w:rsid w:val="002F6610"/>
    <w:rsid w:val="002F6D0F"/>
    <w:rsid w:val="002F6DF1"/>
    <w:rsid w:val="002F6E80"/>
    <w:rsid w:val="002F6E9C"/>
    <w:rsid w:val="002F7075"/>
    <w:rsid w:val="002F73E4"/>
    <w:rsid w:val="003000B5"/>
    <w:rsid w:val="00300B2F"/>
    <w:rsid w:val="003014A6"/>
    <w:rsid w:val="003018DD"/>
    <w:rsid w:val="00301D9F"/>
    <w:rsid w:val="0030214F"/>
    <w:rsid w:val="00302476"/>
    <w:rsid w:val="0030314B"/>
    <w:rsid w:val="00303E82"/>
    <w:rsid w:val="00304073"/>
    <w:rsid w:val="0030407B"/>
    <w:rsid w:val="0030491E"/>
    <w:rsid w:val="00304A86"/>
    <w:rsid w:val="003054FF"/>
    <w:rsid w:val="00305D29"/>
    <w:rsid w:val="00305F74"/>
    <w:rsid w:val="003062C9"/>
    <w:rsid w:val="003062DD"/>
    <w:rsid w:val="00306325"/>
    <w:rsid w:val="00306472"/>
    <w:rsid w:val="00306565"/>
    <w:rsid w:val="003066FA"/>
    <w:rsid w:val="00306F79"/>
    <w:rsid w:val="00307650"/>
    <w:rsid w:val="00307CAA"/>
    <w:rsid w:val="00310661"/>
    <w:rsid w:val="00310679"/>
    <w:rsid w:val="003106B2"/>
    <w:rsid w:val="003118FD"/>
    <w:rsid w:val="00311FBB"/>
    <w:rsid w:val="00312467"/>
    <w:rsid w:val="003125EA"/>
    <w:rsid w:val="0031396E"/>
    <w:rsid w:val="00313D4E"/>
    <w:rsid w:val="00314403"/>
    <w:rsid w:val="00314538"/>
    <w:rsid w:val="00314603"/>
    <w:rsid w:val="0031513C"/>
    <w:rsid w:val="003158D1"/>
    <w:rsid w:val="0031595A"/>
    <w:rsid w:val="00315A72"/>
    <w:rsid w:val="00315B4C"/>
    <w:rsid w:val="00315F58"/>
    <w:rsid w:val="003163BE"/>
    <w:rsid w:val="00316D22"/>
    <w:rsid w:val="00316E97"/>
    <w:rsid w:val="00317961"/>
    <w:rsid w:val="00320065"/>
    <w:rsid w:val="00320364"/>
    <w:rsid w:val="00320701"/>
    <w:rsid w:val="003212E6"/>
    <w:rsid w:val="00321B0F"/>
    <w:rsid w:val="00321F0B"/>
    <w:rsid w:val="0032212F"/>
    <w:rsid w:val="00322231"/>
    <w:rsid w:val="00322862"/>
    <w:rsid w:val="00322B6B"/>
    <w:rsid w:val="00322C14"/>
    <w:rsid w:val="00322EC2"/>
    <w:rsid w:val="00323409"/>
    <w:rsid w:val="00323783"/>
    <w:rsid w:val="00323ABB"/>
    <w:rsid w:val="00323AF8"/>
    <w:rsid w:val="00323C41"/>
    <w:rsid w:val="00323D71"/>
    <w:rsid w:val="0032506D"/>
    <w:rsid w:val="0032567A"/>
    <w:rsid w:val="00326709"/>
    <w:rsid w:val="00327991"/>
    <w:rsid w:val="00327997"/>
    <w:rsid w:val="00327AA7"/>
    <w:rsid w:val="00327E2D"/>
    <w:rsid w:val="003300CF"/>
    <w:rsid w:val="003307A2"/>
    <w:rsid w:val="00330A26"/>
    <w:rsid w:val="00330DEC"/>
    <w:rsid w:val="00330E69"/>
    <w:rsid w:val="00331194"/>
    <w:rsid w:val="00331225"/>
    <w:rsid w:val="00331470"/>
    <w:rsid w:val="00331961"/>
    <w:rsid w:val="00331A21"/>
    <w:rsid w:val="00331C33"/>
    <w:rsid w:val="0033205F"/>
    <w:rsid w:val="003325A1"/>
    <w:rsid w:val="003325B7"/>
    <w:rsid w:val="00332651"/>
    <w:rsid w:val="00332C62"/>
    <w:rsid w:val="003335D6"/>
    <w:rsid w:val="00333942"/>
    <w:rsid w:val="003339DB"/>
    <w:rsid w:val="00333F52"/>
    <w:rsid w:val="003341D4"/>
    <w:rsid w:val="00334956"/>
    <w:rsid w:val="00334EC3"/>
    <w:rsid w:val="00334FE6"/>
    <w:rsid w:val="003350C6"/>
    <w:rsid w:val="00335172"/>
    <w:rsid w:val="0033535D"/>
    <w:rsid w:val="003354D9"/>
    <w:rsid w:val="0033579E"/>
    <w:rsid w:val="003357A5"/>
    <w:rsid w:val="00335DA2"/>
    <w:rsid w:val="00336996"/>
    <w:rsid w:val="00337066"/>
    <w:rsid w:val="00337C35"/>
    <w:rsid w:val="003402A0"/>
    <w:rsid w:val="003404C9"/>
    <w:rsid w:val="003406BF"/>
    <w:rsid w:val="00340A61"/>
    <w:rsid w:val="003415A3"/>
    <w:rsid w:val="003418F9"/>
    <w:rsid w:val="003420DA"/>
    <w:rsid w:val="003425C5"/>
    <w:rsid w:val="003425FB"/>
    <w:rsid w:val="00342AD3"/>
    <w:rsid w:val="0034363A"/>
    <w:rsid w:val="0034365C"/>
    <w:rsid w:val="00345103"/>
    <w:rsid w:val="003456E0"/>
    <w:rsid w:val="003461F8"/>
    <w:rsid w:val="0034660E"/>
    <w:rsid w:val="00346845"/>
    <w:rsid w:val="00346950"/>
    <w:rsid w:val="003473FE"/>
    <w:rsid w:val="0035065E"/>
    <w:rsid w:val="003506FB"/>
    <w:rsid w:val="0035074B"/>
    <w:rsid w:val="00351893"/>
    <w:rsid w:val="00352091"/>
    <w:rsid w:val="00352DC1"/>
    <w:rsid w:val="003535CA"/>
    <w:rsid w:val="00354C26"/>
    <w:rsid w:val="00355244"/>
    <w:rsid w:val="003553A5"/>
    <w:rsid w:val="003555A3"/>
    <w:rsid w:val="00356299"/>
    <w:rsid w:val="003562F8"/>
    <w:rsid w:val="00356D68"/>
    <w:rsid w:val="00357D42"/>
    <w:rsid w:val="00357FD5"/>
    <w:rsid w:val="0036043D"/>
    <w:rsid w:val="00360505"/>
    <w:rsid w:val="00360A16"/>
    <w:rsid w:val="00360B98"/>
    <w:rsid w:val="00361227"/>
    <w:rsid w:val="003616AE"/>
    <w:rsid w:val="003617A8"/>
    <w:rsid w:val="00361D82"/>
    <w:rsid w:val="0036208C"/>
    <w:rsid w:val="00362217"/>
    <w:rsid w:val="0036299D"/>
    <w:rsid w:val="00363723"/>
    <w:rsid w:val="00363A18"/>
    <w:rsid w:val="0036435A"/>
    <w:rsid w:val="0036457B"/>
    <w:rsid w:val="00364C3E"/>
    <w:rsid w:val="00364D81"/>
    <w:rsid w:val="003654BB"/>
    <w:rsid w:val="00365696"/>
    <w:rsid w:val="00365F42"/>
    <w:rsid w:val="00365FB6"/>
    <w:rsid w:val="00365FD9"/>
    <w:rsid w:val="0036669B"/>
    <w:rsid w:val="00366C55"/>
    <w:rsid w:val="00367272"/>
    <w:rsid w:val="00367405"/>
    <w:rsid w:val="00370059"/>
    <w:rsid w:val="003709EB"/>
    <w:rsid w:val="00370A3B"/>
    <w:rsid w:val="00370ABC"/>
    <w:rsid w:val="00370DCF"/>
    <w:rsid w:val="00370DD5"/>
    <w:rsid w:val="003717E9"/>
    <w:rsid w:val="003717EA"/>
    <w:rsid w:val="00371F05"/>
    <w:rsid w:val="0037324F"/>
    <w:rsid w:val="00373604"/>
    <w:rsid w:val="00373D09"/>
    <w:rsid w:val="00373FE6"/>
    <w:rsid w:val="0037473C"/>
    <w:rsid w:val="00374884"/>
    <w:rsid w:val="00374DCC"/>
    <w:rsid w:val="00374FAC"/>
    <w:rsid w:val="003751C6"/>
    <w:rsid w:val="00376110"/>
    <w:rsid w:val="003765A5"/>
    <w:rsid w:val="00376623"/>
    <w:rsid w:val="00377847"/>
    <w:rsid w:val="00377A3B"/>
    <w:rsid w:val="00377EB5"/>
    <w:rsid w:val="003803B4"/>
    <w:rsid w:val="00380822"/>
    <w:rsid w:val="00380F65"/>
    <w:rsid w:val="003819FD"/>
    <w:rsid w:val="00381CA9"/>
    <w:rsid w:val="0038273D"/>
    <w:rsid w:val="003841A1"/>
    <w:rsid w:val="003844BD"/>
    <w:rsid w:val="00384AA3"/>
    <w:rsid w:val="00385076"/>
    <w:rsid w:val="00385297"/>
    <w:rsid w:val="00385997"/>
    <w:rsid w:val="00385F1D"/>
    <w:rsid w:val="00385FC6"/>
    <w:rsid w:val="00386EC3"/>
    <w:rsid w:val="00386F6E"/>
    <w:rsid w:val="003872BE"/>
    <w:rsid w:val="003874B8"/>
    <w:rsid w:val="00387C36"/>
    <w:rsid w:val="00387EC8"/>
    <w:rsid w:val="003917CB"/>
    <w:rsid w:val="0039193A"/>
    <w:rsid w:val="00391957"/>
    <w:rsid w:val="003927C7"/>
    <w:rsid w:val="00392915"/>
    <w:rsid w:val="00393264"/>
    <w:rsid w:val="00393C86"/>
    <w:rsid w:val="003941B0"/>
    <w:rsid w:val="003944FE"/>
    <w:rsid w:val="0039451E"/>
    <w:rsid w:val="0039479C"/>
    <w:rsid w:val="0039497E"/>
    <w:rsid w:val="00395B20"/>
    <w:rsid w:val="00395CB7"/>
    <w:rsid w:val="0039669E"/>
    <w:rsid w:val="0039684D"/>
    <w:rsid w:val="0039704E"/>
    <w:rsid w:val="003A0123"/>
    <w:rsid w:val="003A0E48"/>
    <w:rsid w:val="003A12B7"/>
    <w:rsid w:val="003A1A38"/>
    <w:rsid w:val="003A1CED"/>
    <w:rsid w:val="003A2C12"/>
    <w:rsid w:val="003A3460"/>
    <w:rsid w:val="003A3541"/>
    <w:rsid w:val="003A39D0"/>
    <w:rsid w:val="003A3FDD"/>
    <w:rsid w:val="003A4311"/>
    <w:rsid w:val="003A44A5"/>
    <w:rsid w:val="003A46A5"/>
    <w:rsid w:val="003A4895"/>
    <w:rsid w:val="003A50F3"/>
    <w:rsid w:val="003A5504"/>
    <w:rsid w:val="003A553E"/>
    <w:rsid w:val="003A6A2C"/>
    <w:rsid w:val="003A6DA3"/>
    <w:rsid w:val="003A6F54"/>
    <w:rsid w:val="003A7916"/>
    <w:rsid w:val="003A7DEC"/>
    <w:rsid w:val="003B0654"/>
    <w:rsid w:val="003B0DD7"/>
    <w:rsid w:val="003B111F"/>
    <w:rsid w:val="003B113C"/>
    <w:rsid w:val="003B13F9"/>
    <w:rsid w:val="003B1468"/>
    <w:rsid w:val="003B1504"/>
    <w:rsid w:val="003B18F2"/>
    <w:rsid w:val="003B24E2"/>
    <w:rsid w:val="003B2B43"/>
    <w:rsid w:val="003B2C5C"/>
    <w:rsid w:val="003B2CC8"/>
    <w:rsid w:val="003B2E47"/>
    <w:rsid w:val="003B33D8"/>
    <w:rsid w:val="003B37B2"/>
    <w:rsid w:val="003B432C"/>
    <w:rsid w:val="003B4769"/>
    <w:rsid w:val="003B4D5A"/>
    <w:rsid w:val="003B5A99"/>
    <w:rsid w:val="003B5D2A"/>
    <w:rsid w:val="003B6B52"/>
    <w:rsid w:val="003B6FD3"/>
    <w:rsid w:val="003B7161"/>
    <w:rsid w:val="003B73F3"/>
    <w:rsid w:val="003B75F1"/>
    <w:rsid w:val="003B7A6E"/>
    <w:rsid w:val="003B7E29"/>
    <w:rsid w:val="003C0001"/>
    <w:rsid w:val="003C0DEC"/>
    <w:rsid w:val="003C1320"/>
    <w:rsid w:val="003C1599"/>
    <w:rsid w:val="003C164A"/>
    <w:rsid w:val="003C1F78"/>
    <w:rsid w:val="003C3ED8"/>
    <w:rsid w:val="003C40B2"/>
    <w:rsid w:val="003C411E"/>
    <w:rsid w:val="003C45D7"/>
    <w:rsid w:val="003C4F65"/>
    <w:rsid w:val="003C5099"/>
    <w:rsid w:val="003C521B"/>
    <w:rsid w:val="003C55E8"/>
    <w:rsid w:val="003C5635"/>
    <w:rsid w:val="003C5CAF"/>
    <w:rsid w:val="003C6424"/>
    <w:rsid w:val="003C65A1"/>
    <w:rsid w:val="003C67A1"/>
    <w:rsid w:val="003C6D58"/>
    <w:rsid w:val="003C78E5"/>
    <w:rsid w:val="003D028A"/>
    <w:rsid w:val="003D0EA3"/>
    <w:rsid w:val="003D11D3"/>
    <w:rsid w:val="003D1221"/>
    <w:rsid w:val="003D188D"/>
    <w:rsid w:val="003D1FE7"/>
    <w:rsid w:val="003D257F"/>
    <w:rsid w:val="003D2621"/>
    <w:rsid w:val="003D2710"/>
    <w:rsid w:val="003D27F6"/>
    <w:rsid w:val="003D281C"/>
    <w:rsid w:val="003D2A50"/>
    <w:rsid w:val="003D2B49"/>
    <w:rsid w:val="003D2DE9"/>
    <w:rsid w:val="003D317A"/>
    <w:rsid w:val="003D3D7E"/>
    <w:rsid w:val="003D3F73"/>
    <w:rsid w:val="003D445F"/>
    <w:rsid w:val="003D4F29"/>
    <w:rsid w:val="003D5418"/>
    <w:rsid w:val="003D575F"/>
    <w:rsid w:val="003D6C8B"/>
    <w:rsid w:val="003D6D02"/>
    <w:rsid w:val="003D7AB7"/>
    <w:rsid w:val="003D7D54"/>
    <w:rsid w:val="003D7DA0"/>
    <w:rsid w:val="003E00A0"/>
    <w:rsid w:val="003E0292"/>
    <w:rsid w:val="003E03E8"/>
    <w:rsid w:val="003E041D"/>
    <w:rsid w:val="003E067B"/>
    <w:rsid w:val="003E07DD"/>
    <w:rsid w:val="003E0BC4"/>
    <w:rsid w:val="003E0D18"/>
    <w:rsid w:val="003E1A38"/>
    <w:rsid w:val="003E2181"/>
    <w:rsid w:val="003E2257"/>
    <w:rsid w:val="003E261A"/>
    <w:rsid w:val="003E27C6"/>
    <w:rsid w:val="003E2A62"/>
    <w:rsid w:val="003E2C25"/>
    <w:rsid w:val="003E2E93"/>
    <w:rsid w:val="003E3104"/>
    <w:rsid w:val="003E411F"/>
    <w:rsid w:val="003E467F"/>
    <w:rsid w:val="003E4FFC"/>
    <w:rsid w:val="003E5BB8"/>
    <w:rsid w:val="003E61A9"/>
    <w:rsid w:val="003E61E7"/>
    <w:rsid w:val="003E646B"/>
    <w:rsid w:val="003E6757"/>
    <w:rsid w:val="003E6C1D"/>
    <w:rsid w:val="003F004B"/>
    <w:rsid w:val="003F047C"/>
    <w:rsid w:val="003F05A6"/>
    <w:rsid w:val="003F064F"/>
    <w:rsid w:val="003F0933"/>
    <w:rsid w:val="003F0F71"/>
    <w:rsid w:val="003F12A1"/>
    <w:rsid w:val="003F1BAC"/>
    <w:rsid w:val="003F1F23"/>
    <w:rsid w:val="003F2191"/>
    <w:rsid w:val="003F2203"/>
    <w:rsid w:val="003F2574"/>
    <w:rsid w:val="003F2585"/>
    <w:rsid w:val="003F260C"/>
    <w:rsid w:val="003F2B3B"/>
    <w:rsid w:val="003F2C35"/>
    <w:rsid w:val="003F2D4F"/>
    <w:rsid w:val="003F2EBB"/>
    <w:rsid w:val="003F2EFC"/>
    <w:rsid w:val="003F2F93"/>
    <w:rsid w:val="003F3C31"/>
    <w:rsid w:val="003F3D0E"/>
    <w:rsid w:val="003F47F0"/>
    <w:rsid w:val="003F54A5"/>
    <w:rsid w:val="003F557F"/>
    <w:rsid w:val="003F58DA"/>
    <w:rsid w:val="003F60C1"/>
    <w:rsid w:val="003F6DC0"/>
    <w:rsid w:val="003F759A"/>
    <w:rsid w:val="00400019"/>
    <w:rsid w:val="004007CF"/>
    <w:rsid w:val="00401B0D"/>
    <w:rsid w:val="00401D0F"/>
    <w:rsid w:val="00401E17"/>
    <w:rsid w:val="00401E43"/>
    <w:rsid w:val="004021C6"/>
    <w:rsid w:val="004026CD"/>
    <w:rsid w:val="00402AC6"/>
    <w:rsid w:val="00402E93"/>
    <w:rsid w:val="00403A39"/>
    <w:rsid w:val="0040414E"/>
    <w:rsid w:val="0040422D"/>
    <w:rsid w:val="00404325"/>
    <w:rsid w:val="00404501"/>
    <w:rsid w:val="004048F0"/>
    <w:rsid w:val="0040565D"/>
    <w:rsid w:val="004071D7"/>
    <w:rsid w:val="004076BA"/>
    <w:rsid w:val="004078B7"/>
    <w:rsid w:val="00407A39"/>
    <w:rsid w:val="00407D0B"/>
    <w:rsid w:val="00410002"/>
    <w:rsid w:val="00410494"/>
    <w:rsid w:val="0041070C"/>
    <w:rsid w:val="00410B3C"/>
    <w:rsid w:val="00410E89"/>
    <w:rsid w:val="00410EE7"/>
    <w:rsid w:val="00411074"/>
    <w:rsid w:val="0041151A"/>
    <w:rsid w:val="004135B6"/>
    <w:rsid w:val="004139A4"/>
    <w:rsid w:val="004144A3"/>
    <w:rsid w:val="004145AF"/>
    <w:rsid w:val="004153F2"/>
    <w:rsid w:val="0041544C"/>
    <w:rsid w:val="00415783"/>
    <w:rsid w:val="00415D40"/>
    <w:rsid w:val="00415EAF"/>
    <w:rsid w:val="00416EF2"/>
    <w:rsid w:val="0041721A"/>
    <w:rsid w:val="004176CD"/>
    <w:rsid w:val="004201D0"/>
    <w:rsid w:val="004202D2"/>
    <w:rsid w:val="004207AA"/>
    <w:rsid w:val="0042087A"/>
    <w:rsid w:val="00420ABD"/>
    <w:rsid w:val="00420ED9"/>
    <w:rsid w:val="00421688"/>
    <w:rsid w:val="00421852"/>
    <w:rsid w:val="00421987"/>
    <w:rsid w:val="004223A9"/>
    <w:rsid w:val="00422D50"/>
    <w:rsid w:val="00422D6F"/>
    <w:rsid w:val="00423D73"/>
    <w:rsid w:val="004248C9"/>
    <w:rsid w:val="004249DE"/>
    <w:rsid w:val="00424F23"/>
    <w:rsid w:val="00424F3E"/>
    <w:rsid w:val="004254A3"/>
    <w:rsid w:val="00425980"/>
    <w:rsid w:val="00425C80"/>
    <w:rsid w:val="00425DBC"/>
    <w:rsid w:val="00425F7D"/>
    <w:rsid w:val="0042621B"/>
    <w:rsid w:val="00426BFA"/>
    <w:rsid w:val="004273AA"/>
    <w:rsid w:val="0042740E"/>
    <w:rsid w:val="0042786A"/>
    <w:rsid w:val="00427E9E"/>
    <w:rsid w:val="00431652"/>
    <w:rsid w:val="00431D05"/>
    <w:rsid w:val="00431DCE"/>
    <w:rsid w:val="00432285"/>
    <w:rsid w:val="004322EB"/>
    <w:rsid w:val="00432905"/>
    <w:rsid w:val="00432BF0"/>
    <w:rsid w:val="00432FAD"/>
    <w:rsid w:val="004331DD"/>
    <w:rsid w:val="004331F8"/>
    <w:rsid w:val="00433AEA"/>
    <w:rsid w:val="00433FA4"/>
    <w:rsid w:val="0043408B"/>
    <w:rsid w:val="004345FD"/>
    <w:rsid w:val="00434804"/>
    <w:rsid w:val="004349F6"/>
    <w:rsid w:val="00434BAB"/>
    <w:rsid w:val="00435608"/>
    <w:rsid w:val="00435655"/>
    <w:rsid w:val="00436139"/>
    <w:rsid w:val="0043689B"/>
    <w:rsid w:val="004368AC"/>
    <w:rsid w:val="00436D31"/>
    <w:rsid w:val="00437225"/>
    <w:rsid w:val="0044031C"/>
    <w:rsid w:val="00440541"/>
    <w:rsid w:val="00440565"/>
    <w:rsid w:val="004409B1"/>
    <w:rsid w:val="00441197"/>
    <w:rsid w:val="0044170E"/>
    <w:rsid w:val="0044243B"/>
    <w:rsid w:val="00442AC1"/>
    <w:rsid w:val="0044369D"/>
    <w:rsid w:val="00443750"/>
    <w:rsid w:val="0044492A"/>
    <w:rsid w:val="00444C52"/>
    <w:rsid w:val="00444E98"/>
    <w:rsid w:val="00445042"/>
    <w:rsid w:val="0044596F"/>
    <w:rsid w:val="0044599A"/>
    <w:rsid w:val="00445B9A"/>
    <w:rsid w:val="00446470"/>
    <w:rsid w:val="004467CF"/>
    <w:rsid w:val="00447C80"/>
    <w:rsid w:val="00450213"/>
    <w:rsid w:val="00450BC0"/>
    <w:rsid w:val="00451083"/>
    <w:rsid w:val="00451582"/>
    <w:rsid w:val="004519F1"/>
    <w:rsid w:val="004522A3"/>
    <w:rsid w:val="00452701"/>
    <w:rsid w:val="00452C5D"/>
    <w:rsid w:val="00452D4E"/>
    <w:rsid w:val="004530D7"/>
    <w:rsid w:val="0045325B"/>
    <w:rsid w:val="004534B3"/>
    <w:rsid w:val="004537C5"/>
    <w:rsid w:val="004537D3"/>
    <w:rsid w:val="00453AD3"/>
    <w:rsid w:val="00454187"/>
    <w:rsid w:val="004544E1"/>
    <w:rsid w:val="004544E8"/>
    <w:rsid w:val="0045453B"/>
    <w:rsid w:val="00454662"/>
    <w:rsid w:val="004546C0"/>
    <w:rsid w:val="00454E7B"/>
    <w:rsid w:val="004553EE"/>
    <w:rsid w:val="00455472"/>
    <w:rsid w:val="004554C7"/>
    <w:rsid w:val="00455794"/>
    <w:rsid w:val="00455B70"/>
    <w:rsid w:val="0045639E"/>
    <w:rsid w:val="00456943"/>
    <w:rsid w:val="0045697F"/>
    <w:rsid w:val="00457369"/>
    <w:rsid w:val="0045748D"/>
    <w:rsid w:val="00457DC7"/>
    <w:rsid w:val="00460183"/>
    <w:rsid w:val="004608DB"/>
    <w:rsid w:val="00460B4A"/>
    <w:rsid w:val="00460C3A"/>
    <w:rsid w:val="00460DA5"/>
    <w:rsid w:val="0046111E"/>
    <w:rsid w:val="004613F4"/>
    <w:rsid w:val="004624B1"/>
    <w:rsid w:val="00462639"/>
    <w:rsid w:val="0046289F"/>
    <w:rsid w:val="004629BB"/>
    <w:rsid w:val="00462DA7"/>
    <w:rsid w:val="00462DB9"/>
    <w:rsid w:val="00462F84"/>
    <w:rsid w:val="004640D2"/>
    <w:rsid w:val="00464AC6"/>
    <w:rsid w:val="00464E9D"/>
    <w:rsid w:val="0046504A"/>
    <w:rsid w:val="00465067"/>
    <w:rsid w:val="0046507A"/>
    <w:rsid w:val="0046546C"/>
    <w:rsid w:val="004656A5"/>
    <w:rsid w:val="0046598E"/>
    <w:rsid w:val="00466317"/>
    <w:rsid w:val="00466592"/>
    <w:rsid w:val="004668E5"/>
    <w:rsid w:val="00466DEB"/>
    <w:rsid w:val="004670E7"/>
    <w:rsid w:val="00467274"/>
    <w:rsid w:val="004672C2"/>
    <w:rsid w:val="0046761C"/>
    <w:rsid w:val="004677A3"/>
    <w:rsid w:val="00467A9F"/>
    <w:rsid w:val="004702CC"/>
    <w:rsid w:val="00470812"/>
    <w:rsid w:val="00470B2A"/>
    <w:rsid w:val="00470B5B"/>
    <w:rsid w:val="00470D4B"/>
    <w:rsid w:val="00470F58"/>
    <w:rsid w:val="004715CE"/>
    <w:rsid w:val="004715CF"/>
    <w:rsid w:val="00471641"/>
    <w:rsid w:val="00471740"/>
    <w:rsid w:val="00471AF9"/>
    <w:rsid w:val="0047237F"/>
    <w:rsid w:val="00472A74"/>
    <w:rsid w:val="00472CE6"/>
    <w:rsid w:val="0047386C"/>
    <w:rsid w:val="00473CBC"/>
    <w:rsid w:val="004755AB"/>
    <w:rsid w:val="00475E20"/>
    <w:rsid w:val="00475F7B"/>
    <w:rsid w:val="00475F97"/>
    <w:rsid w:val="004760E9"/>
    <w:rsid w:val="004761EF"/>
    <w:rsid w:val="004763EF"/>
    <w:rsid w:val="00476BB2"/>
    <w:rsid w:val="00476D5E"/>
    <w:rsid w:val="00476DCC"/>
    <w:rsid w:val="00476F56"/>
    <w:rsid w:val="0047784D"/>
    <w:rsid w:val="00477ABC"/>
    <w:rsid w:val="00480038"/>
    <w:rsid w:val="0048036C"/>
    <w:rsid w:val="00480629"/>
    <w:rsid w:val="00480C62"/>
    <w:rsid w:val="0048151D"/>
    <w:rsid w:val="00481B11"/>
    <w:rsid w:val="00481C56"/>
    <w:rsid w:val="00482805"/>
    <w:rsid w:val="00482AA7"/>
    <w:rsid w:val="00482CAC"/>
    <w:rsid w:val="00482F09"/>
    <w:rsid w:val="004832A4"/>
    <w:rsid w:val="004832BF"/>
    <w:rsid w:val="004832DF"/>
    <w:rsid w:val="00483BE7"/>
    <w:rsid w:val="00483DCD"/>
    <w:rsid w:val="004843CA"/>
    <w:rsid w:val="004845ED"/>
    <w:rsid w:val="00484A87"/>
    <w:rsid w:val="00484D1E"/>
    <w:rsid w:val="00484D43"/>
    <w:rsid w:val="00484DD5"/>
    <w:rsid w:val="0048522E"/>
    <w:rsid w:val="00485EB2"/>
    <w:rsid w:val="00485FF1"/>
    <w:rsid w:val="00486263"/>
    <w:rsid w:val="00486920"/>
    <w:rsid w:val="00487656"/>
    <w:rsid w:val="00487846"/>
    <w:rsid w:val="00487A4F"/>
    <w:rsid w:val="004900E5"/>
    <w:rsid w:val="00490155"/>
    <w:rsid w:val="00490442"/>
    <w:rsid w:val="00491E8D"/>
    <w:rsid w:val="004923DA"/>
    <w:rsid w:val="00492B62"/>
    <w:rsid w:val="00493BCA"/>
    <w:rsid w:val="00493F15"/>
    <w:rsid w:val="004943AE"/>
    <w:rsid w:val="00494706"/>
    <w:rsid w:val="004947A9"/>
    <w:rsid w:val="00494961"/>
    <w:rsid w:val="004951BB"/>
    <w:rsid w:val="0049549D"/>
    <w:rsid w:val="00495879"/>
    <w:rsid w:val="00495F7A"/>
    <w:rsid w:val="00496261"/>
    <w:rsid w:val="00496403"/>
    <w:rsid w:val="00496BFA"/>
    <w:rsid w:val="00496D2D"/>
    <w:rsid w:val="00496D3A"/>
    <w:rsid w:val="00497077"/>
    <w:rsid w:val="00497128"/>
    <w:rsid w:val="004A0F38"/>
    <w:rsid w:val="004A20A0"/>
    <w:rsid w:val="004A212C"/>
    <w:rsid w:val="004A2E57"/>
    <w:rsid w:val="004A3015"/>
    <w:rsid w:val="004A3110"/>
    <w:rsid w:val="004A44DD"/>
    <w:rsid w:val="004A4D2D"/>
    <w:rsid w:val="004A4ED1"/>
    <w:rsid w:val="004A53C4"/>
    <w:rsid w:val="004A60DB"/>
    <w:rsid w:val="004A6DFC"/>
    <w:rsid w:val="004A72B2"/>
    <w:rsid w:val="004A7645"/>
    <w:rsid w:val="004A7D3E"/>
    <w:rsid w:val="004A7EDB"/>
    <w:rsid w:val="004B0D89"/>
    <w:rsid w:val="004B1119"/>
    <w:rsid w:val="004B147D"/>
    <w:rsid w:val="004B16D1"/>
    <w:rsid w:val="004B1A93"/>
    <w:rsid w:val="004B1BE6"/>
    <w:rsid w:val="004B20A0"/>
    <w:rsid w:val="004B2173"/>
    <w:rsid w:val="004B246D"/>
    <w:rsid w:val="004B3217"/>
    <w:rsid w:val="004B3A7B"/>
    <w:rsid w:val="004B44DF"/>
    <w:rsid w:val="004B4AAC"/>
    <w:rsid w:val="004B4D60"/>
    <w:rsid w:val="004B4F2D"/>
    <w:rsid w:val="004B5708"/>
    <w:rsid w:val="004B58BE"/>
    <w:rsid w:val="004B59CA"/>
    <w:rsid w:val="004B5A66"/>
    <w:rsid w:val="004B5D59"/>
    <w:rsid w:val="004B5FA8"/>
    <w:rsid w:val="004B6050"/>
    <w:rsid w:val="004B65EA"/>
    <w:rsid w:val="004B78BB"/>
    <w:rsid w:val="004B7934"/>
    <w:rsid w:val="004B7CC4"/>
    <w:rsid w:val="004C0541"/>
    <w:rsid w:val="004C065A"/>
    <w:rsid w:val="004C128B"/>
    <w:rsid w:val="004C15DC"/>
    <w:rsid w:val="004C1D4B"/>
    <w:rsid w:val="004C2645"/>
    <w:rsid w:val="004C266D"/>
    <w:rsid w:val="004C2D93"/>
    <w:rsid w:val="004C327E"/>
    <w:rsid w:val="004C4153"/>
    <w:rsid w:val="004C4445"/>
    <w:rsid w:val="004C4EB9"/>
    <w:rsid w:val="004C5160"/>
    <w:rsid w:val="004C548B"/>
    <w:rsid w:val="004C57E2"/>
    <w:rsid w:val="004C69EA"/>
    <w:rsid w:val="004C6DD6"/>
    <w:rsid w:val="004C7244"/>
    <w:rsid w:val="004C7616"/>
    <w:rsid w:val="004C77EF"/>
    <w:rsid w:val="004C7F12"/>
    <w:rsid w:val="004D0166"/>
    <w:rsid w:val="004D0387"/>
    <w:rsid w:val="004D0586"/>
    <w:rsid w:val="004D059B"/>
    <w:rsid w:val="004D0BB7"/>
    <w:rsid w:val="004D1B2D"/>
    <w:rsid w:val="004D1C78"/>
    <w:rsid w:val="004D1CD1"/>
    <w:rsid w:val="004D2921"/>
    <w:rsid w:val="004D2A95"/>
    <w:rsid w:val="004D2E3D"/>
    <w:rsid w:val="004D2F86"/>
    <w:rsid w:val="004D3393"/>
    <w:rsid w:val="004D39AE"/>
    <w:rsid w:val="004D39FD"/>
    <w:rsid w:val="004D3FBE"/>
    <w:rsid w:val="004D45C0"/>
    <w:rsid w:val="004D48DA"/>
    <w:rsid w:val="004D4F69"/>
    <w:rsid w:val="004D526E"/>
    <w:rsid w:val="004D5570"/>
    <w:rsid w:val="004D5E4C"/>
    <w:rsid w:val="004D6D85"/>
    <w:rsid w:val="004D6E2F"/>
    <w:rsid w:val="004D70EB"/>
    <w:rsid w:val="004D78E8"/>
    <w:rsid w:val="004D7EE1"/>
    <w:rsid w:val="004D7FA0"/>
    <w:rsid w:val="004E0602"/>
    <w:rsid w:val="004E0DD2"/>
    <w:rsid w:val="004E126D"/>
    <w:rsid w:val="004E14C7"/>
    <w:rsid w:val="004E1823"/>
    <w:rsid w:val="004E208B"/>
    <w:rsid w:val="004E20AA"/>
    <w:rsid w:val="004E25C3"/>
    <w:rsid w:val="004E267B"/>
    <w:rsid w:val="004E26FE"/>
    <w:rsid w:val="004E28F7"/>
    <w:rsid w:val="004E384F"/>
    <w:rsid w:val="004E391D"/>
    <w:rsid w:val="004E3A0F"/>
    <w:rsid w:val="004E4203"/>
    <w:rsid w:val="004E4471"/>
    <w:rsid w:val="004E44ED"/>
    <w:rsid w:val="004E4C14"/>
    <w:rsid w:val="004E4C92"/>
    <w:rsid w:val="004E4D0D"/>
    <w:rsid w:val="004E4D91"/>
    <w:rsid w:val="004E4FE6"/>
    <w:rsid w:val="004E50C7"/>
    <w:rsid w:val="004E64BF"/>
    <w:rsid w:val="004E672F"/>
    <w:rsid w:val="004E6B21"/>
    <w:rsid w:val="004E6B27"/>
    <w:rsid w:val="004E750C"/>
    <w:rsid w:val="004E75DF"/>
    <w:rsid w:val="004E7677"/>
    <w:rsid w:val="004E7C8F"/>
    <w:rsid w:val="004E7D8F"/>
    <w:rsid w:val="004E7FED"/>
    <w:rsid w:val="004F0030"/>
    <w:rsid w:val="004F0C20"/>
    <w:rsid w:val="004F0C48"/>
    <w:rsid w:val="004F0DA8"/>
    <w:rsid w:val="004F1879"/>
    <w:rsid w:val="004F1A96"/>
    <w:rsid w:val="004F1BED"/>
    <w:rsid w:val="004F1E4C"/>
    <w:rsid w:val="004F285D"/>
    <w:rsid w:val="004F2EE2"/>
    <w:rsid w:val="004F313E"/>
    <w:rsid w:val="004F392A"/>
    <w:rsid w:val="004F3996"/>
    <w:rsid w:val="004F39F4"/>
    <w:rsid w:val="004F3D60"/>
    <w:rsid w:val="004F4D08"/>
    <w:rsid w:val="004F516B"/>
    <w:rsid w:val="004F5A7F"/>
    <w:rsid w:val="004F5D6C"/>
    <w:rsid w:val="004F5D8A"/>
    <w:rsid w:val="004F5FCB"/>
    <w:rsid w:val="004F6370"/>
    <w:rsid w:val="004F6587"/>
    <w:rsid w:val="004F6FDE"/>
    <w:rsid w:val="004F7A01"/>
    <w:rsid w:val="004F7FA4"/>
    <w:rsid w:val="00500227"/>
    <w:rsid w:val="0050063F"/>
    <w:rsid w:val="00500B62"/>
    <w:rsid w:val="00500C73"/>
    <w:rsid w:val="00500D03"/>
    <w:rsid w:val="00501167"/>
    <w:rsid w:val="00501238"/>
    <w:rsid w:val="00501683"/>
    <w:rsid w:val="005017C5"/>
    <w:rsid w:val="0050239B"/>
    <w:rsid w:val="00502464"/>
    <w:rsid w:val="00502928"/>
    <w:rsid w:val="00502C25"/>
    <w:rsid w:val="00502CEE"/>
    <w:rsid w:val="00502F14"/>
    <w:rsid w:val="00503605"/>
    <w:rsid w:val="005036BE"/>
    <w:rsid w:val="00503F5A"/>
    <w:rsid w:val="005041FF"/>
    <w:rsid w:val="005046E8"/>
    <w:rsid w:val="00504C54"/>
    <w:rsid w:val="00504FD2"/>
    <w:rsid w:val="005054A0"/>
    <w:rsid w:val="005056D5"/>
    <w:rsid w:val="0050603E"/>
    <w:rsid w:val="00506708"/>
    <w:rsid w:val="00506716"/>
    <w:rsid w:val="005069F6"/>
    <w:rsid w:val="00506A0B"/>
    <w:rsid w:val="00506D5E"/>
    <w:rsid w:val="005101CD"/>
    <w:rsid w:val="005102DF"/>
    <w:rsid w:val="005103C1"/>
    <w:rsid w:val="00510936"/>
    <w:rsid w:val="00511506"/>
    <w:rsid w:val="0051191F"/>
    <w:rsid w:val="005121AF"/>
    <w:rsid w:val="00512DE7"/>
    <w:rsid w:val="00513126"/>
    <w:rsid w:val="00513D6C"/>
    <w:rsid w:val="005140E0"/>
    <w:rsid w:val="005142DF"/>
    <w:rsid w:val="005143EB"/>
    <w:rsid w:val="005149E1"/>
    <w:rsid w:val="00514A98"/>
    <w:rsid w:val="00514C53"/>
    <w:rsid w:val="00514E87"/>
    <w:rsid w:val="00515736"/>
    <w:rsid w:val="00515E07"/>
    <w:rsid w:val="00516455"/>
    <w:rsid w:val="00516F43"/>
    <w:rsid w:val="0051727E"/>
    <w:rsid w:val="00517501"/>
    <w:rsid w:val="00517755"/>
    <w:rsid w:val="0051790F"/>
    <w:rsid w:val="00517BC0"/>
    <w:rsid w:val="005200AE"/>
    <w:rsid w:val="0052052B"/>
    <w:rsid w:val="00520C3C"/>
    <w:rsid w:val="0052105D"/>
    <w:rsid w:val="00521299"/>
    <w:rsid w:val="00521423"/>
    <w:rsid w:val="005214C2"/>
    <w:rsid w:val="00521BD4"/>
    <w:rsid w:val="00521E32"/>
    <w:rsid w:val="00522262"/>
    <w:rsid w:val="00522652"/>
    <w:rsid w:val="00522FE6"/>
    <w:rsid w:val="0052331B"/>
    <w:rsid w:val="005238E4"/>
    <w:rsid w:val="00523F20"/>
    <w:rsid w:val="00524287"/>
    <w:rsid w:val="005246B4"/>
    <w:rsid w:val="00524EFE"/>
    <w:rsid w:val="00525182"/>
    <w:rsid w:val="00525215"/>
    <w:rsid w:val="00525AA2"/>
    <w:rsid w:val="00525B62"/>
    <w:rsid w:val="005261A8"/>
    <w:rsid w:val="0052629B"/>
    <w:rsid w:val="005267C1"/>
    <w:rsid w:val="00526CEF"/>
    <w:rsid w:val="00526E53"/>
    <w:rsid w:val="0052750E"/>
    <w:rsid w:val="00527731"/>
    <w:rsid w:val="00527780"/>
    <w:rsid w:val="0052780F"/>
    <w:rsid w:val="00527CF5"/>
    <w:rsid w:val="005305EA"/>
    <w:rsid w:val="00530A0B"/>
    <w:rsid w:val="00530E41"/>
    <w:rsid w:val="0053222A"/>
    <w:rsid w:val="005328FB"/>
    <w:rsid w:val="00532CBC"/>
    <w:rsid w:val="00532EE2"/>
    <w:rsid w:val="00533069"/>
    <w:rsid w:val="005334A1"/>
    <w:rsid w:val="005341D6"/>
    <w:rsid w:val="005348E1"/>
    <w:rsid w:val="00534A33"/>
    <w:rsid w:val="00534CE1"/>
    <w:rsid w:val="00535195"/>
    <w:rsid w:val="005358E3"/>
    <w:rsid w:val="00535FA4"/>
    <w:rsid w:val="0053678A"/>
    <w:rsid w:val="0053722E"/>
    <w:rsid w:val="00537D92"/>
    <w:rsid w:val="00537DC1"/>
    <w:rsid w:val="0054001A"/>
    <w:rsid w:val="005405DF"/>
    <w:rsid w:val="00540F92"/>
    <w:rsid w:val="005412F9"/>
    <w:rsid w:val="0054205E"/>
    <w:rsid w:val="0054259B"/>
    <w:rsid w:val="005429B6"/>
    <w:rsid w:val="00542E5D"/>
    <w:rsid w:val="00543678"/>
    <w:rsid w:val="00543F3D"/>
    <w:rsid w:val="00544884"/>
    <w:rsid w:val="005449FC"/>
    <w:rsid w:val="00544C51"/>
    <w:rsid w:val="00544E02"/>
    <w:rsid w:val="00545322"/>
    <w:rsid w:val="005455B1"/>
    <w:rsid w:val="00545BE9"/>
    <w:rsid w:val="0054654A"/>
    <w:rsid w:val="00546BC3"/>
    <w:rsid w:val="00546C10"/>
    <w:rsid w:val="00546D9D"/>
    <w:rsid w:val="00547842"/>
    <w:rsid w:val="00547B88"/>
    <w:rsid w:val="0055062C"/>
    <w:rsid w:val="00550B20"/>
    <w:rsid w:val="00550C38"/>
    <w:rsid w:val="00550D70"/>
    <w:rsid w:val="00551250"/>
    <w:rsid w:val="00551AB3"/>
    <w:rsid w:val="00551CE1"/>
    <w:rsid w:val="0055279F"/>
    <w:rsid w:val="0055287D"/>
    <w:rsid w:val="00553098"/>
    <w:rsid w:val="005531CC"/>
    <w:rsid w:val="0055356C"/>
    <w:rsid w:val="0055381B"/>
    <w:rsid w:val="00553CF0"/>
    <w:rsid w:val="00553D85"/>
    <w:rsid w:val="00554715"/>
    <w:rsid w:val="005549DA"/>
    <w:rsid w:val="005549FD"/>
    <w:rsid w:val="00554C33"/>
    <w:rsid w:val="00554CD2"/>
    <w:rsid w:val="00554D0D"/>
    <w:rsid w:val="00554DBF"/>
    <w:rsid w:val="00555851"/>
    <w:rsid w:val="00556E06"/>
    <w:rsid w:val="00557277"/>
    <w:rsid w:val="005574E8"/>
    <w:rsid w:val="005614E5"/>
    <w:rsid w:val="00561EF8"/>
    <w:rsid w:val="00562094"/>
    <w:rsid w:val="0056251B"/>
    <w:rsid w:val="005627DB"/>
    <w:rsid w:val="00562AAD"/>
    <w:rsid w:val="00562BED"/>
    <w:rsid w:val="00563081"/>
    <w:rsid w:val="00563833"/>
    <w:rsid w:val="0056395C"/>
    <w:rsid w:val="005642EA"/>
    <w:rsid w:val="005644AE"/>
    <w:rsid w:val="00564886"/>
    <w:rsid w:val="00564943"/>
    <w:rsid w:val="00564FC2"/>
    <w:rsid w:val="00565010"/>
    <w:rsid w:val="00565145"/>
    <w:rsid w:val="00565521"/>
    <w:rsid w:val="005658B4"/>
    <w:rsid w:val="005659ED"/>
    <w:rsid w:val="00565A6A"/>
    <w:rsid w:val="00565E39"/>
    <w:rsid w:val="00566843"/>
    <w:rsid w:val="005668B2"/>
    <w:rsid w:val="00566A2F"/>
    <w:rsid w:val="00566C0F"/>
    <w:rsid w:val="00567177"/>
    <w:rsid w:val="00570228"/>
    <w:rsid w:val="005704C7"/>
    <w:rsid w:val="00570E33"/>
    <w:rsid w:val="00570FE0"/>
    <w:rsid w:val="005713F4"/>
    <w:rsid w:val="0057175A"/>
    <w:rsid w:val="005717DA"/>
    <w:rsid w:val="00571D1A"/>
    <w:rsid w:val="0057268E"/>
    <w:rsid w:val="00572B28"/>
    <w:rsid w:val="00572C3C"/>
    <w:rsid w:val="00572E19"/>
    <w:rsid w:val="005733DF"/>
    <w:rsid w:val="00573ABF"/>
    <w:rsid w:val="00574647"/>
    <w:rsid w:val="00574775"/>
    <w:rsid w:val="005748F5"/>
    <w:rsid w:val="0057498A"/>
    <w:rsid w:val="00574EE6"/>
    <w:rsid w:val="0057517C"/>
    <w:rsid w:val="00575F9A"/>
    <w:rsid w:val="00575FF9"/>
    <w:rsid w:val="0057630F"/>
    <w:rsid w:val="0057637C"/>
    <w:rsid w:val="00576605"/>
    <w:rsid w:val="00576B95"/>
    <w:rsid w:val="00577190"/>
    <w:rsid w:val="0057762C"/>
    <w:rsid w:val="0057770B"/>
    <w:rsid w:val="00580344"/>
    <w:rsid w:val="005806CF"/>
    <w:rsid w:val="00580789"/>
    <w:rsid w:val="00580A05"/>
    <w:rsid w:val="00580E1D"/>
    <w:rsid w:val="005819A4"/>
    <w:rsid w:val="00581C3A"/>
    <w:rsid w:val="005820B9"/>
    <w:rsid w:val="005824E6"/>
    <w:rsid w:val="005825FC"/>
    <w:rsid w:val="005826B9"/>
    <w:rsid w:val="0058278F"/>
    <w:rsid w:val="0058297F"/>
    <w:rsid w:val="00582D47"/>
    <w:rsid w:val="00582D8B"/>
    <w:rsid w:val="00582F66"/>
    <w:rsid w:val="005834DB"/>
    <w:rsid w:val="00584202"/>
    <w:rsid w:val="005842D9"/>
    <w:rsid w:val="005844F1"/>
    <w:rsid w:val="00584AAC"/>
    <w:rsid w:val="00585575"/>
    <w:rsid w:val="00586839"/>
    <w:rsid w:val="00586BED"/>
    <w:rsid w:val="00586DE6"/>
    <w:rsid w:val="00586E4F"/>
    <w:rsid w:val="00587ADC"/>
    <w:rsid w:val="00587B31"/>
    <w:rsid w:val="00590444"/>
    <w:rsid w:val="005904FB"/>
    <w:rsid w:val="00590578"/>
    <w:rsid w:val="00590A39"/>
    <w:rsid w:val="00590CB3"/>
    <w:rsid w:val="00591532"/>
    <w:rsid w:val="00592656"/>
    <w:rsid w:val="00592B51"/>
    <w:rsid w:val="0059336E"/>
    <w:rsid w:val="00593862"/>
    <w:rsid w:val="00593AAB"/>
    <w:rsid w:val="00593F18"/>
    <w:rsid w:val="00594342"/>
    <w:rsid w:val="00594B8B"/>
    <w:rsid w:val="00594F26"/>
    <w:rsid w:val="005953BB"/>
    <w:rsid w:val="005958EB"/>
    <w:rsid w:val="0059621E"/>
    <w:rsid w:val="00596356"/>
    <w:rsid w:val="00596546"/>
    <w:rsid w:val="00596ACF"/>
    <w:rsid w:val="0059772D"/>
    <w:rsid w:val="005979C5"/>
    <w:rsid w:val="005A00EF"/>
    <w:rsid w:val="005A02AA"/>
    <w:rsid w:val="005A03AB"/>
    <w:rsid w:val="005A09FC"/>
    <w:rsid w:val="005A18F6"/>
    <w:rsid w:val="005A1D74"/>
    <w:rsid w:val="005A2586"/>
    <w:rsid w:val="005A2A5E"/>
    <w:rsid w:val="005A2B8C"/>
    <w:rsid w:val="005A3100"/>
    <w:rsid w:val="005A32D1"/>
    <w:rsid w:val="005A347A"/>
    <w:rsid w:val="005A3AF9"/>
    <w:rsid w:val="005A4EF1"/>
    <w:rsid w:val="005A505D"/>
    <w:rsid w:val="005A52EC"/>
    <w:rsid w:val="005A57A1"/>
    <w:rsid w:val="005A592E"/>
    <w:rsid w:val="005A60AA"/>
    <w:rsid w:val="005A6978"/>
    <w:rsid w:val="005A6A87"/>
    <w:rsid w:val="005A6EC1"/>
    <w:rsid w:val="005A7C87"/>
    <w:rsid w:val="005B014F"/>
    <w:rsid w:val="005B0159"/>
    <w:rsid w:val="005B09E5"/>
    <w:rsid w:val="005B0A36"/>
    <w:rsid w:val="005B275F"/>
    <w:rsid w:val="005B2EDF"/>
    <w:rsid w:val="005B2F2D"/>
    <w:rsid w:val="005B3847"/>
    <w:rsid w:val="005B3936"/>
    <w:rsid w:val="005B3AF1"/>
    <w:rsid w:val="005B4D76"/>
    <w:rsid w:val="005B506D"/>
    <w:rsid w:val="005B5CB6"/>
    <w:rsid w:val="005B7219"/>
    <w:rsid w:val="005B7247"/>
    <w:rsid w:val="005B77B0"/>
    <w:rsid w:val="005B7C12"/>
    <w:rsid w:val="005B7E96"/>
    <w:rsid w:val="005C02DD"/>
    <w:rsid w:val="005C06FB"/>
    <w:rsid w:val="005C09D3"/>
    <w:rsid w:val="005C0F36"/>
    <w:rsid w:val="005C0FEA"/>
    <w:rsid w:val="005C10D5"/>
    <w:rsid w:val="005C1AC4"/>
    <w:rsid w:val="005C1C72"/>
    <w:rsid w:val="005C24FE"/>
    <w:rsid w:val="005C2B30"/>
    <w:rsid w:val="005C31D4"/>
    <w:rsid w:val="005C34A9"/>
    <w:rsid w:val="005C36D7"/>
    <w:rsid w:val="005C3ACD"/>
    <w:rsid w:val="005C3E7E"/>
    <w:rsid w:val="005C4949"/>
    <w:rsid w:val="005C5EBF"/>
    <w:rsid w:val="005C6187"/>
    <w:rsid w:val="005C7147"/>
    <w:rsid w:val="005C7218"/>
    <w:rsid w:val="005C72E5"/>
    <w:rsid w:val="005C77BC"/>
    <w:rsid w:val="005C7963"/>
    <w:rsid w:val="005C7A50"/>
    <w:rsid w:val="005C7DB3"/>
    <w:rsid w:val="005D0170"/>
    <w:rsid w:val="005D0D50"/>
    <w:rsid w:val="005D16CE"/>
    <w:rsid w:val="005D1A6C"/>
    <w:rsid w:val="005D23EC"/>
    <w:rsid w:val="005D26F4"/>
    <w:rsid w:val="005D3093"/>
    <w:rsid w:val="005D3826"/>
    <w:rsid w:val="005D3D17"/>
    <w:rsid w:val="005D3F6C"/>
    <w:rsid w:val="005D4942"/>
    <w:rsid w:val="005D49DA"/>
    <w:rsid w:val="005D4F48"/>
    <w:rsid w:val="005D549E"/>
    <w:rsid w:val="005D5F39"/>
    <w:rsid w:val="005D70F8"/>
    <w:rsid w:val="005D7511"/>
    <w:rsid w:val="005D7742"/>
    <w:rsid w:val="005E0185"/>
    <w:rsid w:val="005E0680"/>
    <w:rsid w:val="005E0963"/>
    <w:rsid w:val="005E0A6E"/>
    <w:rsid w:val="005E0C11"/>
    <w:rsid w:val="005E1840"/>
    <w:rsid w:val="005E1CE2"/>
    <w:rsid w:val="005E1EB6"/>
    <w:rsid w:val="005E37F5"/>
    <w:rsid w:val="005E3B97"/>
    <w:rsid w:val="005E483B"/>
    <w:rsid w:val="005E4B2E"/>
    <w:rsid w:val="005E4B39"/>
    <w:rsid w:val="005E4FDC"/>
    <w:rsid w:val="005E58A9"/>
    <w:rsid w:val="005E5A1B"/>
    <w:rsid w:val="005E6609"/>
    <w:rsid w:val="005E6E1B"/>
    <w:rsid w:val="005E7650"/>
    <w:rsid w:val="005E78D6"/>
    <w:rsid w:val="005E79A0"/>
    <w:rsid w:val="005F114B"/>
    <w:rsid w:val="005F1505"/>
    <w:rsid w:val="005F159F"/>
    <w:rsid w:val="005F208D"/>
    <w:rsid w:val="005F23F1"/>
    <w:rsid w:val="005F384D"/>
    <w:rsid w:val="005F38DD"/>
    <w:rsid w:val="005F4406"/>
    <w:rsid w:val="005F4549"/>
    <w:rsid w:val="005F4974"/>
    <w:rsid w:val="005F4F4A"/>
    <w:rsid w:val="005F5341"/>
    <w:rsid w:val="005F534B"/>
    <w:rsid w:val="005F5B4C"/>
    <w:rsid w:val="005F67F0"/>
    <w:rsid w:val="005F69C6"/>
    <w:rsid w:val="005F7164"/>
    <w:rsid w:val="005F75C7"/>
    <w:rsid w:val="00600190"/>
    <w:rsid w:val="006001B7"/>
    <w:rsid w:val="0060049E"/>
    <w:rsid w:val="006004FC"/>
    <w:rsid w:val="006009B4"/>
    <w:rsid w:val="00600C18"/>
    <w:rsid w:val="00601599"/>
    <w:rsid w:val="006019F9"/>
    <w:rsid w:val="00601BCA"/>
    <w:rsid w:val="00601E69"/>
    <w:rsid w:val="00602D6A"/>
    <w:rsid w:val="00602D84"/>
    <w:rsid w:val="00603BB6"/>
    <w:rsid w:val="0060424D"/>
    <w:rsid w:val="006045F6"/>
    <w:rsid w:val="00604ACF"/>
    <w:rsid w:val="00604D83"/>
    <w:rsid w:val="00604DE9"/>
    <w:rsid w:val="00604F88"/>
    <w:rsid w:val="00605832"/>
    <w:rsid w:val="00605D79"/>
    <w:rsid w:val="0060612F"/>
    <w:rsid w:val="006061CC"/>
    <w:rsid w:val="006067FD"/>
    <w:rsid w:val="00606C0C"/>
    <w:rsid w:val="00606C28"/>
    <w:rsid w:val="00606F68"/>
    <w:rsid w:val="00607169"/>
    <w:rsid w:val="00607285"/>
    <w:rsid w:val="0060766F"/>
    <w:rsid w:val="00607BA0"/>
    <w:rsid w:val="00610004"/>
    <w:rsid w:val="006102B4"/>
    <w:rsid w:val="006107CA"/>
    <w:rsid w:val="006109A1"/>
    <w:rsid w:val="00610AA7"/>
    <w:rsid w:val="00610E99"/>
    <w:rsid w:val="006114B0"/>
    <w:rsid w:val="006119EA"/>
    <w:rsid w:val="00611BFA"/>
    <w:rsid w:val="00611C82"/>
    <w:rsid w:val="006122A0"/>
    <w:rsid w:val="006122FB"/>
    <w:rsid w:val="00612C9B"/>
    <w:rsid w:val="00613D5A"/>
    <w:rsid w:val="00613DC1"/>
    <w:rsid w:val="0061403E"/>
    <w:rsid w:val="00614B23"/>
    <w:rsid w:val="00614D37"/>
    <w:rsid w:val="00615D46"/>
    <w:rsid w:val="0061667A"/>
    <w:rsid w:val="00617329"/>
    <w:rsid w:val="00617834"/>
    <w:rsid w:val="00617964"/>
    <w:rsid w:val="00617B62"/>
    <w:rsid w:val="0062018B"/>
    <w:rsid w:val="006202DA"/>
    <w:rsid w:val="006207B8"/>
    <w:rsid w:val="006207EB"/>
    <w:rsid w:val="00620C2B"/>
    <w:rsid w:val="00621850"/>
    <w:rsid w:val="00621DDF"/>
    <w:rsid w:val="00621DFB"/>
    <w:rsid w:val="00622E06"/>
    <w:rsid w:val="006233CD"/>
    <w:rsid w:val="00623473"/>
    <w:rsid w:val="00623588"/>
    <w:rsid w:val="0062375B"/>
    <w:rsid w:val="00623D0A"/>
    <w:rsid w:val="00623DB2"/>
    <w:rsid w:val="00624773"/>
    <w:rsid w:val="006248B9"/>
    <w:rsid w:val="006253AF"/>
    <w:rsid w:val="006256A8"/>
    <w:rsid w:val="00625E22"/>
    <w:rsid w:val="0062613C"/>
    <w:rsid w:val="00626BE2"/>
    <w:rsid w:val="0062723E"/>
    <w:rsid w:val="0062797B"/>
    <w:rsid w:val="00627B0D"/>
    <w:rsid w:val="0063064B"/>
    <w:rsid w:val="00630DBC"/>
    <w:rsid w:val="00630E7E"/>
    <w:rsid w:val="006311D1"/>
    <w:rsid w:val="006313D6"/>
    <w:rsid w:val="0063147E"/>
    <w:rsid w:val="00631CDB"/>
    <w:rsid w:val="00631E82"/>
    <w:rsid w:val="006322D1"/>
    <w:rsid w:val="0063262D"/>
    <w:rsid w:val="00632C6C"/>
    <w:rsid w:val="00632CCA"/>
    <w:rsid w:val="00632D4C"/>
    <w:rsid w:val="00632E14"/>
    <w:rsid w:val="006343DB"/>
    <w:rsid w:val="00634642"/>
    <w:rsid w:val="006347D1"/>
    <w:rsid w:val="006348E2"/>
    <w:rsid w:val="00634997"/>
    <w:rsid w:val="00634C00"/>
    <w:rsid w:val="00634F3F"/>
    <w:rsid w:val="0063550C"/>
    <w:rsid w:val="006355DB"/>
    <w:rsid w:val="00635647"/>
    <w:rsid w:val="00637125"/>
    <w:rsid w:val="006373A3"/>
    <w:rsid w:val="006408A4"/>
    <w:rsid w:val="00640F0E"/>
    <w:rsid w:val="0064130D"/>
    <w:rsid w:val="00641AAF"/>
    <w:rsid w:val="00641AD5"/>
    <w:rsid w:val="00642201"/>
    <w:rsid w:val="006425A5"/>
    <w:rsid w:val="006435F2"/>
    <w:rsid w:val="006437EC"/>
    <w:rsid w:val="00643888"/>
    <w:rsid w:val="00644259"/>
    <w:rsid w:val="006444C3"/>
    <w:rsid w:val="00644CA4"/>
    <w:rsid w:val="00645396"/>
    <w:rsid w:val="00645666"/>
    <w:rsid w:val="0064605B"/>
    <w:rsid w:val="00646590"/>
    <w:rsid w:val="006468F5"/>
    <w:rsid w:val="00646EE4"/>
    <w:rsid w:val="006472A9"/>
    <w:rsid w:val="006472F2"/>
    <w:rsid w:val="0064796A"/>
    <w:rsid w:val="00647A37"/>
    <w:rsid w:val="00647DC2"/>
    <w:rsid w:val="00650099"/>
    <w:rsid w:val="00650645"/>
    <w:rsid w:val="00650787"/>
    <w:rsid w:val="006508FC"/>
    <w:rsid w:val="00650DE5"/>
    <w:rsid w:val="00650F76"/>
    <w:rsid w:val="00651038"/>
    <w:rsid w:val="006511A5"/>
    <w:rsid w:val="006513C8"/>
    <w:rsid w:val="00651695"/>
    <w:rsid w:val="006516AC"/>
    <w:rsid w:val="00651835"/>
    <w:rsid w:val="006520C8"/>
    <w:rsid w:val="0065239C"/>
    <w:rsid w:val="006523F9"/>
    <w:rsid w:val="00652A7D"/>
    <w:rsid w:val="00653F60"/>
    <w:rsid w:val="0065422A"/>
    <w:rsid w:val="00654668"/>
    <w:rsid w:val="0065521F"/>
    <w:rsid w:val="00655C85"/>
    <w:rsid w:val="00655E7B"/>
    <w:rsid w:val="0065636F"/>
    <w:rsid w:val="00656C35"/>
    <w:rsid w:val="00656CF4"/>
    <w:rsid w:val="0065728D"/>
    <w:rsid w:val="0065798A"/>
    <w:rsid w:val="006579F9"/>
    <w:rsid w:val="00657BD7"/>
    <w:rsid w:val="00660398"/>
    <w:rsid w:val="00660B1F"/>
    <w:rsid w:val="00660E32"/>
    <w:rsid w:val="00661506"/>
    <w:rsid w:val="00661507"/>
    <w:rsid w:val="00661B7F"/>
    <w:rsid w:val="00662101"/>
    <w:rsid w:val="006621D8"/>
    <w:rsid w:val="00662F1C"/>
    <w:rsid w:val="00663767"/>
    <w:rsid w:val="006638F9"/>
    <w:rsid w:val="00663C1D"/>
    <w:rsid w:val="0066420E"/>
    <w:rsid w:val="006643DE"/>
    <w:rsid w:val="00664A6E"/>
    <w:rsid w:val="00664BCE"/>
    <w:rsid w:val="00664FDF"/>
    <w:rsid w:val="006650EE"/>
    <w:rsid w:val="00667C7B"/>
    <w:rsid w:val="0067041C"/>
    <w:rsid w:val="006710F8"/>
    <w:rsid w:val="00671778"/>
    <w:rsid w:val="00671F3F"/>
    <w:rsid w:val="006728AB"/>
    <w:rsid w:val="00672BF0"/>
    <w:rsid w:val="00672C19"/>
    <w:rsid w:val="006732C0"/>
    <w:rsid w:val="006734E6"/>
    <w:rsid w:val="00673733"/>
    <w:rsid w:val="00673AC7"/>
    <w:rsid w:val="00673DB4"/>
    <w:rsid w:val="006748E1"/>
    <w:rsid w:val="00674A15"/>
    <w:rsid w:val="0067538E"/>
    <w:rsid w:val="0067582B"/>
    <w:rsid w:val="006759BB"/>
    <w:rsid w:val="00675A34"/>
    <w:rsid w:val="006765C9"/>
    <w:rsid w:val="006770BC"/>
    <w:rsid w:val="0067717D"/>
    <w:rsid w:val="00677A5F"/>
    <w:rsid w:val="00680192"/>
    <w:rsid w:val="00680F01"/>
    <w:rsid w:val="006813A6"/>
    <w:rsid w:val="00683871"/>
    <w:rsid w:val="00683A32"/>
    <w:rsid w:val="00683ADF"/>
    <w:rsid w:val="00683FB5"/>
    <w:rsid w:val="006849FD"/>
    <w:rsid w:val="00685B83"/>
    <w:rsid w:val="006861C0"/>
    <w:rsid w:val="0068636E"/>
    <w:rsid w:val="0068659C"/>
    <w:rsid w:val="00686D75"/>
    <w:rsid w:val="00686DEF"/>
    <w:rsid w:val="00686FA6"/>
    <w:rsid w:val="00687B7F"/>
    <w:rsid w:val="006900E7"/>
    <w:rsid w:val="006909D7"/>
    <w:rsid w:val="00690DB6"/>
    <w:rsid w:val="006912CB"/>
    <w:rsid w:val="006913E5"/>
    <w:rsid w:val="00691722"/>
    <w:rsid w:val="006917E1"/>
    <w:rsid w:val="00691879"/>
    <w:rsid w:val="00691970"/>
    <w:rsid w:val="00691984"/>
    <w:rsid w:val="00691B01"/>
    <w:rsid w:val="00691CC7"/>
    <w:rsid w:val="006920FE"/>
    <w:rsid w:val="0069219F"/>
    <w:rsid w:val="00692222"/>
    <w:rsid w:val="00692505"/>
    <w:rsid w:val="00692BEA"/>
    <w:rsid w:val="00693761"/>
    <w:rsid w:val="00693C72"/>
    <w:rsid w:val="0069449D"/>
    <w:rsid w:val="0069458F"/>
    <w:rsid w:val="006955D7"/>
    <w:rsid w:val="0069575F"/>
    <w:rsid w:val="00696958"/>
    <w:rsid w:val="00696BBA"/>
    <w:rsid w:val="006973AD"/>
    <w:rsid w:val="0069793F"/>
    <w:rsid w:val="00697AC5"/>
    <w:rsid w:val="00697B17"/>
    <w:rsid w:val="00697C66"/>
    <w:rsid w:val="00697FF8"/>
    <w:rsid w:val="006A022B"/>
    <w:rsid w:val="006A0DD7"/>
    <w:rsid w:val="006A100B"/>
    <w:rsid w:val="006A1309"/>
    <w:rsid w:val="006A1359"/>
    <w:rsid w:val="006A1405"/>
    <w:rsid w:val="006A1B4D"/>
    <w:rsid w:val="006A1F61"/>
    <w:rsid w:val="006A2DC2"/>
    <w:rsid w:val="006A34DC"/>
    <w:rsid w:val="006A3D89"/>
    <w:rsid w:val="006A40DA"/>
    <w:rsid w:val="006A425C"/>
    <w:rsid w:val="006A4410"/>
    <w:rsid w:val="006A48B6"/>
    <w:rsid w:val="006A4A2A"/>
    <w:rsid w:val="006A523E"/>
    <w:rsid w:val="006A560D"/>
    <w:rsid w:val="006A565B"/>
    <w:rsid w:val="006A56F2"/>
    <w:rsid w:val="006A59BF"/>
    <w:rsid w:val="006A5FED"/>
    <w:rsid w:val="006A63A7"/>
    <w:rsid w:val="006A6497"/>
    <w:rsid w:val="006A693A"/>
    <w:rsid w:val="006A6A22"/>
    <w:rsid w:val="006A6B3B"/>
    <w:rsid w:val="006A6F85"/>
    <w:rsid w:val="006A729B"/>
    <w:rsid w:val="006A7DA2"/>
    <w:rsid w:val="006B00E1"/>
    <w:rsid w:val="006B072A"/>
    <w:rsid w:val="006B0B91"/>
    <w:rsid w:val="006B0BB8"/>
    <w:rsid w:val="006B0C43"/>
    <w:rsid w:val="006B182C"/>
    <w:rsid w:val="006B18C6"/>
    <w:rsid w:val="006B1D7E"/>
    <w:rsid w:val="006B27B8"/>
    <w:rsid w:val="006B2868"/>
    <w:rsid w:val="006B2B69"/>
    <w:rsid w:val="006B2E02"/>
    <w:rsid w:val="006B38F1"/>
    <w:rsid w:val="006B43D2"/>
    <w:rsid w:val="006B4C31"/>
    <w:rsid w:val="006B4C9D"/>
    <w:rsid w:val="006B5053"/>
    <w:rsid w:val="006B539D"/>
    <w:rsid w:val="006B5CD6"/>
    <w:rsid w:val="006B613B"/>
    <w:rsid w:val="006B788F"/>
    <w:rsid w:val="006B78D7"/>
    <w:rsid w:val="006B7D1A"/>
    <w:rsid w:val="006B7ECC"/>
    <w:rsid w:val="006B7F6F"/>
    <w:rsid w:val="006C1BB0"/>
    <w:rsid w:val="006C1BCE"/>
    <w:rsid w:val="006C1D2F"/>
    <w:rsid w:val="006C1DA2"/>
    <w:rsid w:val="006C1E58"/>
    <w:rsid w:val="006C1EC9"/>
    <w:rsid w:val="006C1FBB"/>
    <w:rsid w:val="006C202F"/>
    <w:rsid w:val="006C264A"/>
    <w:rsid w:val="006C26CB"/>
    <w:rsid w:val="006C2F6F"/>
    <w:rsid w:val="006C32DF"/>
    <w:rsid w:val="006C36FE"/>
    <w:rsid w:val="006C383B"/>
    <w:rsid w:val="006C4232"/>
    <w:rsid w:val="006C46CE"/>
    <w:rsid w:val="006C4CAF"/>
    <w:rsid w:val="006C5F63"/>
    <w:rsid w:val="006C5FBA"/>
    <w:rsid w:val="006C5FCA"/>
    <w:rsid w:val="006C61A8"/>
    <w:rsid w:val="006C63FE"/>
    <w:rsid w:val="006C6E7D"/>
    <w:rsid w:val="006C772A"/>
    <w:rsid w:val="006D0420"/>
    <w:rsid w:val="006D065F"/>
    <w:rsid w:val="006D0DC2"/>
    <w:rsid w:val="006D0E17"/>
    <w:rsid w:val="006D150D"/>
    <w:rsid w:val="006D189F"/>
    <w:rsid w:val="006D1FB7"/>
    <w:rsid w:val="006D2E2D"/>
    <w:rsid w:val="006D3525"/>
    <w:rsid w:val="006D3C04"/>
    <w:rsid w:val="006D3E28"/>
    <w:rsid w:val="006D3F8C"/>
    <w:rsid w:val="006D42F6"/>
    <w:rsid w:val="006D45DA"/>
    <w:rsid w:val="006D4DF6"/>
    <w:rsid w:val="006D503C"/>
    <w:rsid w:val="006D628C"/>
    <w:rsid w:val="006D6FFF"/>
    <w:rsid w:val="006D7842"/>
    <w:rsid w:val="006E044C"/>
    <w:rsid w:val="006E0578"/>
    <w:rsid w:val="006E0B0A"/>
    <w:rsid w:val="006E10B6"/>
    <w:rsid w:val="006E1A02"/>
    <w:rsid w:val="006E2276"/>
    <w:rsid w:val="006E2901"/>
    <w:rsid w:val="006E351D"/>
    <w:rsid w:val="006E36BC"/>
    <w:rsid w:val="006E3772"/>
    <w:rsid w:val="006E3C68"/>
    <w:rsid w:val="006E3FE3"/>
    <w:rsid w:val="006E4546"/>
    <w:rsid w:val="006E485B"/>
    <w:rsid w:val="006E5511"/>
    <w:rsid w:val="006E5744"/>
    <w:rsid w:val="006E592A"/>
    <w:rsid w:val="006E5948"/>
    <w:rsid w:val="006E5D41"/>
    <w:rsid w:val="006E5E7B"/>
    <w:rsid w:val="006E5F22"/>
    <w:rsid w:val="006E69C5"/>
    <w:rsid w:val="006E7074"/>
    <w:rsid w:val="006E7186"/>
    <w:rsid w:val="006E7705"/>
    <w:rsid w:val="006E7CD6"/>
    <w:rsid w:val="006F0858"/>
    <w:rsid w:val="006F0CA3"/>
    <w:rsid w:val="006F1611"/>
    <w:rsid w:val="006F214A"/>
    <w:rsid w:val="006F22E3"/>
    <w:rsid w:val="006F2DB9"/>
    <w:rsid w:val="006F2E09"/>
    <w:rsid w:val="006F2F32"/>
    <w:rsid w:val="006F2FD4"/>
    <w:rsid w:val="006F4387"/>
    <w:rsid w:val="006F443C"/>
    <w:rsid w:val="006F55F9"/>
    <w:rsid w:val="006F57EA"/>
    <w:rsid w:val="006F589C"/>
    <w:rsid w:val="006F5981"/>
    <w:rsid w:val="006F59EB"/>
    <w:rsid w:val="006F6D97"/>
    <w:rsid w:val="006F797A"/>
    <w:rsid w:val="006F7ACC"/>
    <w:rsid w:val="006F7B68"/>
    <w:rsid w:val="006F7E7C"/>
    <w:rsid w:val="00700105"/>
    <w:rsid w:val="0070012C"/>
    <w:rsid w:val="0070078B"/>
    <w:rsid w:val="00700A74"/>
    <w:rsid w:val="0070125E"/>
    <w:rsid w:val="007018F5"/>
    <w:rsid w:val="00701D72"/>
    <w:rsid w:val="007024FE"/>
    <w:rsid w:val="0070277F"/>
    <w:rsid w:val="00702C29"/>
    <w:rsid w:val="007033D2"/>
    <w:rsid w:val="007037AD"/>
    <w:rsid w:val="00703F96"/>
    <w:rsid w:val="00703FBD"/>
    <w:rsid w:val="00704722"/>
    <w:rsid w:val="00705038"/>
    <w:rsid w:val="007052B5"/>
    <w:rsid w:val="00705695"/>
    <w:rsid w:val="007056CB"/>
    <w:rsid w:val="00705BAC"/>
    <w:rsid w:val="00705D86"/>
    <w:rsid w:val="00706C00"/>
    <w:rsid w:val="007071D1"/>
    <w:rsid w:val="00707493"/>
    <w:rsid w:val="007075B7"/>
    <w:rsid w:val="00707707"/>
    <w:rsid w:val="007078E8"/>
    <w:rsid w:val="00707CBC"/>
    <w:rsid w:val="00710690"/>
    <w:rsid w:val="00710938"/>
    <w:rsid w:val="00711A02"/>
    <w:rsid w:val="00711A85"/>
    <w:rsid w:val="00711D26"/>
    <w:rsid w:val="0071223A"/>
    <w:rsid w:val="00712643"/>
    <w:rsid w:val="00712EF1"/>
    <w:rsid w:val="007131B3"/>
    <w:rsid w:val="007134E5"/>
    <w:rsid w:val="00713965"/>
    <w:rsid w:val="007139C7"/>
    <w:rsid w:val="00713A43"/>
    <w:rsid w:val="00713DDE"/>
    <w:rsid w:val="00714095"/>
    <w:rsid w:val="007145DB"/>
    <w:rsid w:val="00714763"/>
    <w:rsid w:val="00714934"/>
    <w:rsid w:val="00715085"/>
    <w:rsid w:val="007155E0"/>
    <w:rsid w:val="00715F0B"/>
    <w:rsid w:val="0071614A"/>
    <w:rsid w:val="0071690A"/>
    <w:rsid w:val="007169E2"/>
    <w:rsid w:val="00716F8A"/>
    <w:rsid w:val="0071705C"/>
    <w:rsid w:val="00717293"/>
    <w:rsid w:val="00717E90"/>
    <w:rsid w:val="00717F43"/>
    <w:rsid w:val="00720937"/>
    <w:rsid w:val="00720B70"/>
    <w:rsid w:val="00720CAF"/>
    <w:rsid w:val="0072104C"/>
    <w:rsid w:val="007211A1"/>
    <w:rsid w:val="00722505"/>
    <w:rsid w:val="007226B6"/>
    <w:rsid w:val="0072283C"/>
    <w:rsid w:val="00722903"/>
    <w:rsid w:val="00722C53"/>
    <w:rsid w:val="00722E80"/>
    <w:rsid w:val="00722F21"/>
    <w:rsid w:val="00722FF3"/>
    <w:rsid w:val="00723CE5"/>
    <w:rsid w:val="007240E5"/>
    <w:rsid w:val="0072473E"/>
    <w:rsid w:val="007249C6"/>
    <w:rsid w:val="00724A93"/>
    <w:rsid w:val="007250C4"/>
    <w:rsid w:val="007251BB"/>
    <w:rsid w:val="00725535"/>
    <w:rsid w:val="00725E39"/>
    <w:rsid w:val="007263BB"/>
    <w:rsid w:val="00726757"/>
    <w:rsid w:val="00726A56"/>
    <w:rsid w:val="00726C53"/>
    <w:rsid w:val="007276D6"/>
    <w:rsid w:val="00727714"/>
    <w:rsid w:val="0072797F"/>
    <w:rsid w:val="00727BEB"/>
    <w:rsid w:val="00727BFA"/>
    <w:rsid w:val="00727C0C"/>
    <w:rsid w:val="00727D36"/>
    <w:rsid w:val="00727DF5"/>
    <w:rsid w:val="00731986"/>
    <w:rsid w:val="00731D3A"/>
    <w:rsid w:val="007326DA"/>
    <w:rsid w:val="00732BF6"/>
    <w:rsid w:val="00732D58"/>
    <w:rsid w:val="00732E2A"/>
    <w:rsid w:val="007337B8"/>
    <w:rsid w:val="00734D99"/>
    <w:rsid w:val="00735AFB"/>
    <w:rsid w:val="00735D6B"/>
    <w:rsid w:val="00736594"/>
    <w:rsid w:val="00736ADA"/>
    <w:rsid w:val="00737D0B"/>
    <w:rsid w:val="0074035F"/>
    <w:rsid w:val="007403A9"/>
    <w:rsid w:val="00740C0B"/>
    <w:rsid w:val="00741292"/>
    <w:rsid w:val="007418B9"/>
    <w:rsid w:val="00741F78"/>
    <w:rsid w:val="0074207D"/>
    <w:rsid w:val="0074241B"/>
    <w:rsid w:val="0074282E"/>
    <w:rsid w:val="007439FF"/>
    <w:rsid w:val="0074401B"/>
    <w:rsid w:val="0074477D"/>
    <w:rsid w:val="00744B95"/>
    <w:rsid w:val="00744DE5"/>
    <w:rsid w:val="0074539F"/>
    <w:rsid w:val="00745FBF"/>
    <w:rsid w:val="007462B6"/>
    <w:rsid w:val="007462CC"/>
    <w:rsid w:val="007467E0"/>
    <w:rsid w:val="0074680E"/>
    <w:rsid w:val="0074712F"/>
    <w:rsid w:val="00747D01"/>
    <w:rsid w:val="00750392"/>
    <w:rsid w:val="00750D5A"/>
    <w:rsid w:val="007515E2"/>
    <w:rsid w:val="007527F9"/>
    <w:rsid w:val="00752E0F"/>
    <w:rsid w:val="007534B1"/>
    <w:rsid w:val="00754919"/>
    <w:rsid w:val="007549AE"/>
    <w:rsid w:val="0075538D"/>
    <w:rsid w:val="00756193"/>
    <w:rsid w:val="00756740"/>
    <w:rsid w:val="00756760"/>
    <w:rsid w:val="00756C32"/>
    <w:rsid w:val="00756F6D"/>
    <w:rsid w:val="0075765B"/>
    <w:rsid w:val="00757961"/>
    <w:rsid w:val="00760F4D"/>
    <w:rsid w:val="007617B0"/>
    <w:rsid w:val="00761AF0"/>
    <w:rsid w:val="00761FC8"/>
    <w:rsid w:val="00762EC5"/>
    <w:rsid w:val="00763579"/>
    <w:rsid w:val="007636A6"/>
    <w:rsid w:val="007638F3"/>
    <w:rsid w:val="00764281"/>
    <w:rsid w:val="007643D7"/>
    <w:rsid w:val="00764523"/>
    <w:rsid w:val="0076466F"/>
    <w:rsid w:val="0076489D"/>
    <w:rsid w:val="007664BC"/>
    <w:rsid w:val="0076681A"/>
    <w:rsid w:val="00766DAF"/>
    <w:rsid w:val="00767465"/>
    <w:rsid w:val="00767E40"/>
    <w:rsid w:val="007712A0"/>
    <w:rsid w:val="007719CB"/>
    <w:rsid w:val="00771CE0"/>
    <w:rsid w:val="00771F46"/>
    <w:rsid w:val="007724B5"/>
    <w:rsid w:val="0077254B"/>
    <w:rsid w:val="00772CEB"/>
    <w:rsid w:val="007750BA"/>
    <w:rsid w:val="00775143"/>
    <w:rsid w:val="0077542D"/>
    <w:rsid w:val="0077546C"/>
    <w:rsid w:val="00775509"/>
    <w:rsid w:val="007756F4"/>
    <w:rsid w:val="00775778"/>
    <w:rsid w:val="00775B13"/>
    <w:rsid w:val="0077626B"/>
    <w:rsid w:val="007765FF"/>
    <w:rsid w:val="007766EC"/>
    <w:rsid w:val="00777138"/>
    <w:rsid w:val="00777A04"/>
    <w:rsid w:val="00777C18"/>
    <w:rsid w:val="00780084"/>
    <w:rsid w:val="00780A67"/>
    <w:rsid w:val="0078201E"/>
    <w:rsid w:val="007821EA"/>
    <w:rsid w:val="00782299"/>
    <w:rsid w:val="00782876"/>
    <w:rsid w:val="00782EE5"/>
    <w:rsid w:val="00783302"/>
    <w:rsid w:val="0078363C"/>
    <w:rsid w:val="00783A20"/>
    <w:rsid w:val="00784440"/>
    <w:rsid w:val="00784BE8"/>
    <w:rsid w:val="00786097"/>
    <w:rsid w:val="00786343"/>
    <w:rsid w:val="00786A0C"/>
    <w:rsid w:val="00786C79"/>
    <w:rsid w:val="00786E33"/>
    <w:rsid w:val="00787BFA"/>
    <w:rsid w:val="007900E1"/>
    <w:rsid w:val="007904BC"/>
    <w:rsid w:val="00790B73"/>
    <w:rsid w:val="00791404"/>
    <w:rsid w:val="0079223F"/>
    <w:rsid w:val="00792971"/>
    <w:rsid w:val="00793068"/>
    <w:rsid w:val="007935A4"/>
    <w:rsid w:val="00793B6D"/>
    <w:rsid w:val="00793B75"/>
    <w:rsid w:val="00793E40"/>
    <w:rsid w:val="00793EB0"/>
    <w:rsid w:val="00794571"/>
    <w:rsid w:val="007948DC"/>
    <w:rsid w:val="007949D3"/>
    <w:rsid w:val="00794A1C"/>
    <w:rsid w:val="00794D22"/>
    <w:rsid w:val="00794E8C"/>
    <w:rsid w:val="00795CF5"/>
    <w:rsid w:val="007960E1"/>
    <w:rsid w:val="0079695C"/>
    <w:rsid w:val="00797433"/>
    <w:rsid w:val="007977E6"/>
    <w:rsid w:val="00797D51"/>
    <w:rsid w:val="007A02F7"/>
    <w:rsid w:val="007A10BF"/>
    <w:rsid w:val="007A1630"/>
    <w:rsid w:val="007A19EC"/>
    <w:rsid w:val="007A1BCF"/>
    <w:rsid w:val="007A1EF1"/>
    <w:rsid w:val="007A21F3"/>
    <w:rsid w:val="007A2B41"/>
    <w:rsid w:val="007A313B"/>
    <w:rsid w:val="007A3317"/>
    <w:rsid w:val="007A3C16"/>
    <w:rsid w:val="007A3F7C"/>
    <w:rsid w:val="007A40EF"/>
    <w:rsid w:val="007A50DB"/>
    <w:rsid w:val="007A5FFA"/>
    <w:rsid w:val="007A6693"/>
    <w:rsid w:val="007A6AC0"/>
    <w:rsid w:val="007A7417"/>
    <w:rsid w:val="007B04F5"/>
    <w:rsid w:val="007B09BC"/>
    <w:rsid w:val="007B0F15"/>
    <w:rsid w:val="007B132A"/>
    <w:rsid w:val="007B1657"/>
    <w:rsid w:val="007B1D30"/>
    <w:rsid w:val="007B23D4"/>
    <w:rsid w:val="007B29E1"/>
    <w:rsid w:val="007B36FF"/>
    <w:rsid w:val="007B3C3A"/>
    <w:rsid w:val="007B4049"/>
    <w:rsid w:val="007B4C51"/>
    <w:rsid w:val="007B588A"/>
    <w:rsid w:val="007B598D"/>
    <w:rsid w:val="007B5A08"/>
    <w:rsid w:val="007B5BFB"/>
    <w:rsid w:val="007B5F18"/>
    <w:rsid w:val="007B5F61"/>
    <w:rsid w:val="007B620C"/>
    <w:rsid w:val="007B67F6"/>
    <w:rsid w:val="007B70B8"/>
    <w:rsid w:val="007B77D7"/>
    <w:rsid w:val="007B7CC7"/>
    <w:rsid w:val="007B7FE9"/>
    <w:rsid w:val="007C03E6"/>
    <w:rsid w:val="007C07F8"/>
    <w:rsid w:val="007C18BF"/>
    <w:rsid w:val="007C1DB8"/>
    <w:rsid w:val="007C2023"/>
    <w:rsid w:val="007C28DD"/>
    <w:rsid w:val="007C2904"/>
    <w:rsid w:val="007C2B48"/>
    <w:rsid w:val="007C2C0D"/>
    <w:rsid w:val="007C2EAA"/>
    <w:rsid w:val="007C2F3C"/>
    <w:rsid w:val="007C3696"/>
    <w:rsid w:val="007C3D80"/>
    <w:rsid w:val="007C450C"/>
    <w:rsid w:val="007C4F61"/>
    <w:rsid w:val="007C55F1"/>
    <w:rsid w:val="007C562A"/>
    <w:rsid w:val="007C5B29"/>
    <w:rsid w:val="007C5F20"/>
    <w:rsid w:val="007C5FBF"/>
    <w:rsid w:val="007C76B4"/>
    <w:rsid w:val="007C7723"/>
    <w:rsid w:val="007D0119"/>
    <w:rsid w:val="007D0A09"/>
    <w:rsid w:val="007D0FCA"/>
    <w:rsid w:val="007D1485"/>
    <w:rsid w:val="007D253D"/>
    <w:rsid w:val="007D25D3"/>
    <w:rsid w:val="007D2897"/>
    <w:rsid w:val="007D2B62"/>
    <w:rsid w:val="007D2E70"/>
    <w:rsid w:val="007D3081"/>
    <w:rsid w:val="007D3772"/>
    <w:rsid w:val="007D3803"/>
    <w:rsid w:val="007D39CF"/>
    <w:rsid w:val="007D41E1"/>
    <w:rsid w:val="007D4748"/>
    <w:rsid w:val="007D5B01"/>
    <w:rsid w:val="007D66DA"/>
    <w:rsid w:val="007D66E0"/>
    <w:rsid w:val="007D6F95"/>
    <w:rsid w:val="007D752B"/>
    <w:rsid w:val="007D7760"/>
    <w:rsid w:val="007E0103"/>
    <w:rsid w:val="007E0452"/>
    <w:rsid w:val="007E076F"/>
    <w:rsid w:val="007E0CC9"/>
    <w:rsid w:val="007E0D6E"/>
    <w:rsid w:val="007E1B21"/>
    <w:rsid w:val="007E1B60"/>
    <w:rsid w:val="007E24F7"/>
    <w:rsid w:val="007E2A7D"/>
    <w:rsid w:val="007E2E66"/>
    <w:rsid w:val="007E3839"/>
    <w:rsid w:val="007E3D10"/>
    <w:rsid w:val="007E3F02"/>
    <w:rsid w:val="007E46B7"/>
    <w:rsid w:val="007E5418"/>
    <w:rsid w:val="007E5884"/>
    <w:rsid w:val="007E5E81"/>
    <w:rsid w:val="007E68BF"/>
    <w:rsid w:val="007E68F0"/>
    <w:rsid w:val="007E7053"/>
    <w:rsid w:val="007E76F5"/>
    <w:rsid w:val="007E7C1A"/>
    <w:rsid w:val="007E7F3B"/>
    <w:rsid w:val="007F05C6"/>
    <w:rsid w:val="007F067B"/>
    <w:rsid w:val="007F0734"/>
    <w:rsid w:val="007F0BB8"/>
    <w:rsid w:val="007F1BEF"/>
    <w:rsid w:val="007F1DCA"/>
    <w:rsid w:val="007F2330"/>
    <w:rsid w:val="007F27A2"/>
    <w:rsid w:val="007F2F32"/>
    <w:rsid w:val="007F396B"/>
    <w:rsid w:val="007F39BB"/>
    <w:rsid w:val="007F3CC8"/>
    <w:rsid w:val="007F3E09"/>
    <w:rsid w:val="007F4B34"/>
    <w:rsid w:val="007F5246"/>
    <w:rsid w:val="007F56C4"/>
    <w:rsid w:val="007F5882"/>
    <w:rsid w:val="007F59F0"/>
    <w:rsid w:val="007F64F1"/>
    <w:rsid w:val="007F6DC8"/>
    <w:rsid w:val="007F7DBC"/>
    <w:rsid w:val="007F7DF5"/>
    <w:rsid w:val="00800670"/>
    <w:rsid w:val="00800C5E"/>
    <w:rsid w:val="00800C9D"/>
    <w:rsid w:val="00800F49"/>
    <w:rsid w:val="00801014"/>
    <w:rsid w:val="008010CA"/>
    <w:rsid w:val="00801361"/>
    <w:rsid w:val="00802158"/>
    <w:rsid w:val="00802615"/>
    <w:rsid w:val="00802DBD"/>
    <w:rsid w:val="00802E25"/>
    <w:rsid w:val="008039F8"/>
    <w:rsid w:val="0080404F"/>
    <w:rsid w:val="00804F67"/>
    <w:rsid w:val="00805037"/>
    <w:rsid w:val="00805520"/>
    <w:rsid w:val="0080595C"/>
    <w:rsid w:val="00805A72"/>
    <w:rsid w:val="00806080"/>
    <w:rsid w:val="0080608E"/>
    <w:rsid w:val="00806293"/>
    <w:rsid w:val="00806DA2"/>
    <w:rsid w:val="00806E42"/>
    <w:rsid w:val="00807494"/>
    <w:rsid w:val="008103A0"/>
    <w:rsid w:val="0081042C"/>
    <w:rsid w:val="00810736"/>
    <w:rsid w:val="00811770"/>
    <w:rsid w:val="00811A04"/>
    <w:rsid w:val="00811B5F"/>
    <w:rsid w:val="00811E1A"/>
    <w:rsid w:val="00811E99"/>
    <w:rsid w:val="008125A7"/>
    <w:rsid w:val="008127C9"/>
    <w:rsid w:val="00812818"/>
    <w:rsid w:val="00812AA9"/>
    <w:rsid w:val="00813307"/>
    <w:rsid w:val="00813848"/>
    <w:rsid w:val="00813ACC"/>
    <w:rsid w:val="00813B78"/>
    <w:rsid w:val="00813CF0"/>
    <w:rsid w:val="00813D4F"/>
    <w:rsid w:val="00813FF8"/>
    <w:rsid w:val="00814424"/>
    <w:rsid w:val="008144D1"/>
    <w:rsid w:val="008145B4"/>
    <w:rsid w:val="008147FB"/>
    <w:rsid w:val="008157AD"/>
    <w:rsid w:val="0081604F"/>
    <w:rsid w:val="008160D4"/>
    <w:rsid w:val="008172CA"/>
    <w:rsid w:val="0081755E"/>
    <w:rsid w:val="0081758B"/>
    <w:rsid w:val="008177C8"/>
    <w:rsid w:val="008179CC"/>
    <w:rsid w:val="008179E1"/>
    <w:rsid w:val="00820429"/>
    <w:rsid w:val="00821131"/>
    <w:rsid w:val="0082128E"/>
    <w:rsid w:val="008213A9"/>
    <w:rsid w:val="00821434"/>
    <w:rsid w:val="0082166A"/>
    <w:rsid w:val="008220B1"/>
    <w:rsid w:val="008220CE"/>
    <w:rsid w:val="0082256F"/>
    <w:rsid w:val="00822B5C"/>
    <w:rsid w:val="00822F65"/>
    <w:rsid w:val="00822FFB"/>
    <w:rsid w:val="008237F2"/>
    <w:rsid w:val="008245C7"/>
    <w:rsid w:val="00824A88"/>
    <w:rsid w:val="00824C2E"/>
    <w:rsid w:val="00826A2F"/>
    <w:rsid w:val="00827553"/>
    <w:rsid w:val="008278AE"/>
    <w:rsid w:val="00827D2B"/>
    <w:rsid w:val="008302A0"/>
    <w:rsid w:val="00830732"/>
    <w:rsid w:val="00830F1C"/>
    <w:rsid w:val="00831211"/>
    <w:rsid w:val="00831625"/>
    <w:rsid w:val="00832066"/>
    <w:rsid w:val="0083421A"/>
    <w:rsid w:val="00834E3D"/>
    <w:rsid w:val="008357CA"/>
    <w:rsid w:val="00835A52"/>
    <w:rsid w:val="00835F0B"/>
    <w:rsid w:val="008360DE"/>
    <w:rsid w:val="00836769"/>
    <w:rsid w:val="008367A0"/>
    <w:rsid w:val="00836B43"/>
    <w:rsid w:val="00836E21"/>
    <w:rsid w:val="00836F6C"/>
    <w:rsid w:val="00837C54"/>
    <w:rsid w:val="0084004E"/>
    <w:rsid w:val="008401AC"/>
    <w:rsid w:val="008405CB"/>
    <w:rsid w:val="008408F2"/>
    <w:rsid w:val="008412FF"/>
    <w:rsid w:val="00841445"/>
    <w:rsid w:val="00841993"/>
    <w:rsid w:val="00841A2C"/>
    <w:rsid w:val="00842807"/>
    <w:rsid w:val="00843029"/>
    <w:rsid w:val="0084316E"/>
    <w:rsid w:val="00843184"/>
    <w:rsid w:val="008432E4"/>
    <w:rsid w:val="00843CB9"/>
    <w:rsid w:val="00844C8E"/>
    <w:rsid w:val="008450FD"/>
    <w:rsid w:val="00845448"/>
    <w:rsid w:val="00846283"/>
    <w:rsid w:val="008503F0"/>
    <w:rsid w:val="00850E72"/>
    <w:rsid w:val="00851058"/>
    <w:rsid w:val="008512BE"/>
    <w:rsid w:val="00851358"/>
    <w:rsid w:val="00851540"/>
    <w:rsid w:val="0085162B"/>
    <w:rsid w:val="00851780"/>
    <w:rsid w:val="008523BF"/>
    <w:rsid w:val="00852E10"/>
    <w:rsid w:val="008535E2"/>
    <w:rsid w:val="008537E9"/>
    <w:rsid w:val="00853A4C"/>
    <w:rsid w:val="00854176"/>
    <w:rsid w:val="0085433A"/>
    <w:rsid w:val="00854A9B"/>
    <w:rsid w:val="00854FE3"/>
    <w:rsid w:val="008550D9"/>
    <w:rsid w:val="008552A1"/>
    <w:rsid w:val="008556DC"/>
    <w:rsid w:val="00855862"/>
    <w:rsid w:val="00855C08"/>
    <w:rsid w:val="00855D01"/>
    <w:rsid w:val="0085633E"/>
    <w:rsid w:val="008569BD"/>
    <w:rsid w:val="00856AA3"/>
    <w:rsid w:val="00856F9F"/>
    <w:rsid w:val="00857152"/>
    <w:rsid w:val="008574A7"/>
    <w:rsid w:val="008578F5"/>
    <w:rsid w:val="00857D60"/>
    <w:rsid w:val="00857FDD"/>
    <w:rsid w:val="00860054"/>
    <w:rsid w:val="008601DF"/>
    <w:rsid w:val="008607D4"/>
    <w:rsid w:val="00860943"/>
    <w:rsid w:val="008609CF"/>
    <w:rsid w:val="008611C9"/>
    <w:rsid w:val="0086139A"/>
    <w:rsid w:val="0086146A"/>
    <w:rsid w:val="008615E5"/>
    <w:rsid w:val="00861E48"/>
    <w:rsid w:val="00862115"/>
    <w:rsid w:val="0086255F"/>
    <w:rsid w:val="00863B76"/>
    <w:rsid w:val="00863F57"/>
    <w:rsid w:val="008643D7"/>
    <w:rsid w:val="008648E3"/>
    <w:rsid w:val="00865E41"/>
    <w:rsid w:val="00866563"/>
    <w:rsid w:val="008665AF"/>
    <w:rsid w:val="00867158"/>
    <w:rsid w:val="0086762F"/>
    <w:rsid w:val="00867A7C"/>
    <w:rsid w:val="00870653"/>
    <w:rsid w:val="00870FC0"/>
    <w:rsid w:val="00871AFB"/>
    <w:rsid w:val="00871EFB"/>
    <w:rsid w:val="00871FC0"/>
    <w:rsid w:val="008722F8"/>
    <w:rsid w:val="00872AD5"/>
    <w:rsid w:val="00872B38"/>
    <w:rsid w:val="00872DA5"/>
    <w:rsid w:val="008732E5"/>
    <w:rsid w:val="00873353"/>
    <w:rsid w:val="00873E7F"/>
    <w:rsid w:val="00873F22"/>
    <w:rsid w:val="008746A8"/>
    <w:rsid w:val="00874863"/>
    <w:rsid w:val="00874A5E"/>
    <w:rsid w:val="00874BBC"/>
    <w:rsid w:val="00874FA6"/>
    <w:rsid w:val="00875731"/>
    <w:rsid w:val="008757EF"/>
    <w:rsid w:val="00875AC9"/>
    <w:rsid w:val="008764FC"/>
    <w:rsid w:val="00876592"/>
    <w:rsid w:val="00876A85"/>
    <w:rsid w:val="00876B89"/>
    <w:rsid w:val="00876D5F"/>
    <w:rsid w:val="00876DCB"/>
    <w:rsid w:val="00877681"/>
    <w:rsid w:val="0087771C"/>
    <w:rsid w:val="008777D9"/>
    <w:rsid w:val="00877DDC"/>
    <w:rsid w:val="0088103C"/>
    <w:rsid w:val="008811F8"/>
    <w:rsid w:val="00881AE8"/>
    <w:rsid w:val="00881B02"/>
    <w:rsid w:val="00881DA6"/>
    <w:rsid w:val="00882928"/>
    <w:rsid w:val="00883B1B"/>
    <w:rsid w:val="00883CAB"/>
    <w:rsid w:val="00885023"/>
    <w:rsid w:val="008854F0"/>
    <w:rsid w:val="008858B6"/>
    <w:rsid w:val="00885C60"/>
    <w:rsid w:val="0088623B"/>
    <w:rsid w:val="008868F0"/>
    <w:rsid w:val="008870FD"/>
    <w:rsid w:val="00887862"/>
    <w:rsid w:val="0088797C"/>
    <w:rsid w:val="00887A0D"/>
    <w:rsid w:val="00890481"/>
    <w:rsid w:val="00891427"/>
    <w:rsid w:val="00891ED6"/>
    <w:rsid w:val="0089229D"/>
    <w:rsid w:val="00892B3C"/>
    <w:rsid w:val="00892F62"/>
    <w:rsid w:val="008932BA"/>
    <w:rsid w:val="00893327"/>
    <w:rsid w:val="008938E2"/>
    <w:rsid w:val="00893A78"/>
    <w:rsid w:val="00893E95"/>
    <w:rsid w:val="008944EF"/>
    <w:rsid w:val="00894AEA"/>
    <w:rsid w:val="00894C62"/>
    <w:rsid w:val="00895437"/>
    <w:rsid w:val="00895C9B"/>
    <w:rsid w:val="00895D00"/>
    <w:rsid w:val="00895F6E"/>
    <w:rsid w:val="0089657A"/>
    <w:rsid w:val="0089694A"/>
    <w:rsid w:val="00896DC8"/>
    <w:rsid w:val="008972F1"/>
    <w:rsid w:val="008976E8"/>
    <w:rsid w:val="0089796E"/>
    <w:rsid w:val="00897AED"/>
    <w:rsid w:val="008A078E"/>
    <w:rsid w:val="008A0BBD"/>
    <w:rsid w:val="008A0CF8"/>
    <w:rsid w:val="008A1887"/>
    <w:rsid w:val="008A1916"/>
    <w:rsid w:val="008A32DE"/>
    <w:rsid w:val="008A3D42"/>
    <w:rsid w:val="008A49F5"/>
    <w:rsid w:val="008A4B8D"/>
    <w:rsid w:val="008A5076"/>
    <w:rsid w:val="008A6725"/>
    <w:rsid w:val="008A682A"/>
    <w:rsid w:val="008A6BE7"/>
    <w:rsid w:val="008A7954"/>
    <w:rsid w:val="008A7B91"/>
    <w:rsid w:val="008A7FF7"/>
    <w:rsid w:val="008B0488"/>
    <w:rsid w:val="008B0E10"/>
    <w:rsid w:val="008B0E7A"/>
    <w:rsid w:val="008B10FF"/>
    <w:rsid w:val="008B12C0"/>
    <w:rsid w:val="008B2068"/>
    <w:rsid w:val="008B2D43"/>
    <w:rsid w:val="008B2F51"/>
    <w:rsid w:val="008B332D"/>
    <w:rsid w:val="008B3560"/>
    <w:rsid w:val="008B3AE6"/>
    <w:rsid w:val="008B4459"/>
    <w:rsid w:val="008B49BD"/>
    <w:rsid w:val="008B5831"/>
    <w:rsid w:val="008B6ED6"/>
    <w:rsid w:val="008B7714"/>
    <w:rsid w:val="008B7D36"/>
    <w:rsid w:val="008C0021"/>
    <w:rsid w:val="008C0299"/>
    <w:rsid w:val="008C0480"/>
    <w:rsid w:val="008C056A"/>
    <w:rsid w:val="008C08F0"/>
    <w:rsid w:val="008C0B7D"/>
    <w:rsid w:val="008C15FA"/>
    <w:rsid w:val="008C221D"/>
    <w:rsid w:val="008C248F"/>
    <w:rsid w:val="008C2E5F"/>
    <w:rsid w:val="008C34B3"/>
    <w:rsid w:val="008C3E44"/>
    <w:rsid w:val="008C3EA1"/>
    <w:rsid w:val="008C4824"/>
    <w:rsid w:val="008C5443"/>
    <w:rsid w:val="008C55B5"/>
    <w:rsid w:val="008C55E3"/>
    <w:rsid w:val="008C5A53"/>
    <w:rsid w:val="008C5BB7"/>
    <w:rsid w:val="008C6D4A"/>
    <w:rsid w:val="008C6D7E"/>
    <w:rsid w:val="008C7DF2"/>
    <w:rsid w:val="008D0530"/>
    <w:rsid w:val="008D0C51"/>
    <w:rsid w:val="008D0E98"/>
    <w:rsid w:val="008D1130"/>
    <w:rsid w:val="008D1239"/>
    <w:rsid w:val="008D167F"/>
    <w:rsid w:val="008D18AE"/>
    <w:rsid w:val="008D20BF"/>
    <w:rsid w:val="008D2AF4"/>
    <w:rsid w:val="008D2F4D"/>
    <w:rsid w:val="008D3423"/>
    <w:rsid w:val="008D3C3D"/>
    <w:rsid w:val="008D4703"/>
    <w:rsid w:val="008D478F"/>
    <w:rsid w:val="008D4E52"/>
    <w:rsid w:val="008D576D"/>
    <w:rsid w:val="008D5CF4"/>
    <w:rsid w:val="008D5DCA"/>
    <w:rsid w:val="008D5E78"/>
    <w:rsid w:val="008D5EC2"/>
    <w:rsid w:val="008D608F"/>
    <w:rsid w:val="008D6361"/>
    <w:rsid w:val="008D66EE"/>
    <w:rsid w:val="008D6A6A"/>
    <w:rsid w:val="008D6D1B"/>
    <w:rsid w:val="008D7189"/>
    <w:rsid w:val="008D749F"/>
    <w:rsid w:val="008E06AB"/>
    <w:rsid w:val="008E0C00"/>
    <w:rsid w:val="008E1088"/>
    <w:rsid w:val="008E1353"/>
    <w:rsid w:val="008E164D"/>
    <w:rsid w:val="008E17B8"/>
    <w:rsid w:val="008E1815"/>
    <w:rsid w:val="008E1847"/>
    <w:rsid w:val="008E188B"/>
    <w:rsid w:val="008E219F"/>
    <w:rsid w:val="008E242C"/>
    <w:rsid w:val="008E2D90"/>
    <w:rsid w:val="008E3A03"/>
    <w:rsid w:val="008E3AD4"/>
    <w:rsid w:val="008E3C1F"/>
    <w:rsid w:val="008E3CD7"/>
    <w:rsid w:val="008E4894"/>
    <w:rsid w:val="008E4E56"/>
    <w:rsid w:val="008E4EA8"/>
    <w:rsid w:val="008E4F51"/>
    <w:rsid w:val="008E50AB"/>
    <w:rsid w:val="008E5132"/>
    <w:rsid w:val="008E58A0"/>
    <w:rsid w:val="008E5AFE"/>
    <w:rsid w:val="008E5D8D"/>
    <w:rsid w:val="008E615D"/>
    <w:rsid w:val="008E6FBA"/>
    <w:rsid w:val="008E7247"/>
    <w:rsid w:val="008E7277"/>
    <w:rsid w:val="008E74C1"/>
    <w:rsid w:val="008F034D"/>
    <w:rsid w:val="008F098D"/>
    <w:rsid w:val="008F16E9"/>
    <w:rsid w:val="008F2055"/>
    <w:rsid w:val="008F2220"/>
    <w:rsid w:val="008F2871"/>
    <w:rsid w:val="008F3280"/>
    <w:rsid w:val="008F3C18"/>
    <w:rsid w:val="008F44D0"/>
    <w:rsid w:val="008F490B"/>
    <w:rsid w:val="008F49C0"/>
    <w:rsid w:val="008F50AB"/>
    <w:rsid w:val="008F5504"/>
    <w:rsid w:val="008F579F"/>
    <w:rsid w:val="008F5FF1"/>
    <w:rsid w:val="008F6665"/>
    <w:rsid w:val="008F71EF"/>
    <w:rsid w:val="008F77A4"/>
    <w:rsid w:val="008F798E"/>
    <w:rsid w:val="00900617"/>
    <w:rsid w:val="00901102"/>
    <w:rsid w:val="00901FBD"/>
    <w:rsid w:val="00902447"/>
    <w:rsid w:val="00903AAB"/>
    <w:rsid w:val="00903B2B"/>
    <w:rsid w:val="00903B2C"/>
    <w:rsid w:val="00905065"/>
    <w:rsid w:val="0090664B"/>
    <w:rsid w:val="00906ACF"/>
    <w:rsid w:val="00906C77"/>
    <w:rsid w:val="00906DA1"/>
    <w:rsid w:val="00906F92"/>
    <w:rsid w:val="009075F1"/>
    <w:rsid w:val="00907E03"/>
    <w:rsid w:val="00910687"/>
    <w:rsid w:val="00910931"/>
    <w:rsid w:val="00910EF8"/>
    <w:rsid w:val="00911CBA"/>
    <w:rsid w:val="009123AB"/>
    <w:rsid w:val="009123C5"/>
    <w:rsid w:val="00912DD7"/>
    <w:rsid w:val="00913223"/>
    <w:rsid w:val="0091379F"/>
    <w:rsid w:val="00914342"/>
    <w:rsid w:val="0091456C"/>
    <w:rsid w:val="00915003"/>
    <w:rsid w:val="0091554B"/>
    <w:rsid w:val="009157F9"/>
    <w:rsid w:val="00915A24"/>
    <w:rsid w:val="00916915"/>
    <w:rsid w:val="009178EC"/>
    <w:rsid w:val="0091798B"/>
    <w:rsid w:val="00917E62"/>
    <w:rsid w:val="00917E92"/>
    <w:rsid w:val="00920316"/>
    <w:rsid w:val="0092035A"/>
    <w:rsid w:val="0092095A"/>
    <w:rsid w:val="00920AF1"/>
    <w:rsid w:val="00920F4A"/>
    <w:rsid w:val="00921215"/>
    <w:rsid w:val="009213AB"/>
    <w:rsid w:val="00921526"/>
    <w:rsid w:val="00921742"/>
    <w:rsid w:val="00921AAD"/>
    <w:rsid w:val="00922333"/>
    <w:rsid w:val="00922F77"/>
    <w:rsid w:val="00923092"/>
    <w:rsid w:val="009239BF"/>
    <w:rsid w:val="00923C5E"/>
    <w:rsid w:val="00924537"/>
    <w:rsid w:val="0092464B"/>
    <w:rsid w:val="00924A35"/>
    <w:rsid w:val="0092569B"/>
    <w:rsid w:val="009268ED"/>
    <w:rsid w:val="00926E08"/>
    <w:rsid w:val="00927274"/>
    <w:rsid w:val="009279B7"/>
    <w:rsid w:val="00927FCF"/>
    <w:rsid w:val="00930571"/>
    <w:rsid w:val="00930DCF"/>
    <w:rsid w:val="00930F6E"/>
    <w:rsid w:val="00931190"/>
    <w:rsid w:val="00931636"/>
    <w:rsid w:val="00931B16"/>
    <w:rsid w:val="00931E76"/>
    <w:rsid w:val="00931F16"/>
    <w:rsid w:val="00933129"/>
    <w:rsid w:val="00933523"/>
    <w:rsid w:val="009335FE"/>
    <w:rsid w:val="00933FCF"/>
    <w:rsid w:val="009340DE"/>
    <w:rsid w:val="00934A5A"/>
    <w:rsid w:val="00935BA5"/>
    <w:rsid w:val="00936A62"/>
    <w:rsid w:val="00936B98"/>
    <w:rsid w:val="009372AB"/>
    <w:rsid w:val="00937707"/>
    <w:rsid w:val="00937D06"/>
    <w:rsid w:val="00937D3E"/>
    <w:rsid w:val="00937DE9"/>
    <w:rsid w:val="0094033B"/>
    <w:rsid w:val="009403A7"/>
    <w:rsid w:val="0094053D"/>
    <w:rsid w:val="00940C51"/>
    <w:rsid w:val="00940F0F"/>
    <w:rsid w:val="00941747"/>
    <w:rsid w:val="00941990"/>
    <w:rsid w:val="00941CA8"/>
    <w:rsid w:val="009423AE"/>
    <w:rsid w:val="00942985"/>
    <w:rsid w:val="00942C63"/>
    <w:rsid w:val="00943DC3"/>
    <w:rsid w:val="00944794"/>
    <w:rsid w:val="00944988"/>
    <w:rsid w:val="00944F80"/>
    <w:rsid w:val="00945768"/>
    <w:rsid w:val="00945A52"/>
    <w:rsid w:val="00945E33"/>
    <w:rsid w:val="00945EE8"/>
    <w:rsid w:val="009462A1"/>
    <w:rsid w:val="00946635"/>
    <w:rsid w:val="009467AB"/>
    <w:rsid w:val="00946961"/>
    <w:rsid w:val="00946963"/>
    <w:rsid w:val="00946BF9"/>
    <w:rsid w:val="00946D57"/>
    <w:rsid w:val="00946D82"/>
    <w:rsid w:val="009474C7"/>
    <w:rsid w:val="0094780A"/>
    <w:rsid w:val="00947906"/>
    <w:rsid w:val="00947ABA"/>
    <w:rsid w:val="00947D29"/>
    <w:rsid w:val="00950514"/>
    <w:rsid w:val="00950BAA"/>
    <w:rsid w:val="00952158"/>
    <w:rsid w:val="00952181"/>
    <w:rsid w:val="009521D6"/>
    <w:rsid w:val="0095294D"/>
    <w:rsid w:val="009532F6"/>
    <w:rsid w:val="009535AB"/>
    <w:rsid w:val="00953AA4"/>
    <w:rsid w:val="00953C31"/>
    <w:rsid w:val="00954DB7"/>
    <w:rsid w:val="00955101"/>
    <w:rsid w:val="009555A3"/>
    <w:rsid w:val="009559DA"/>
    <w:rsid w:val="00955D88"/>
    <w:rsid w:val="009562A8"/>
    <w:rsid w:val="0095682F"/>
    <w:rsid w:val="00956F90"/>
    <w:rsid w:val="00956FC4"/>
    <w:rsid w:val="0095777F"/>
    <w:rsid w:val="009577A7"/>
    <w:rsid w:val="009577B7"/>
    <w:rsid w:val="009577E3"/>
    <w:rsid w:val="00957901"/>
    <w:rsid w:val="00957C4D"/>
    <w:rsid w:val="00957E86"/>
    <w:rsid w:val="009607F9"/>
    <w:rsid w:val="00960E1C"/>
    <w:rsid w:val="00960FCC"/>
    <w:rsid w:val="009610AC"/>
    <w:rsid w:val="00961121"/>
    <w:rsid w:val="009613DA"/>
    <w:rsid w:val="00961724"/>
    <w:rsid w:val="00961791"/>
    <w:rsid w:val="00961904"/>
    <w:rsid w:val="00961B16"/>
    <w:rsid w:val="00961BEE"/>
    <w:rsid w:val="00961CCF"/>
    <w:rsid w:val="00961D28"/>
    <w:rsid w:val="0096208B"/>
    <w:rsid w:val="0096231D"/>
    <w:rsid w:val="009635AC"/>
    <w:rsid w:val="009636E7"/>
    <w:rsid w:val="009636FE"/>
    <w:rsid w:val="009646EE"/>
    <w:rsid w:val="009647ED"/>
    <w:rsid w:val="00965119"/>
    <w:rsid w:val="009654BE"/>
    <w:rsid w:val="009655F8"/>
    <w:rsid w:val="00965D6A"/>
    <w:rsid w:val="0096603C"/>
    <w:rsid w:val="00966110"/>
    <w:rsid w:val="009668E5"/>
    <w:rsid w:val="00966D90"/>
    <w:rsid w:val="0096711C"/>
    <w:rsid w:val="0096762D"/>
    <w:rsid w:val="00967B68"/>
    <w:rsid w:val="009700F1"/>
    <w:rsid w:val="009701C3"/>
    <w:rsid w:val="00970489"/>
    <w:rsid w:val="009705AE"/>
    <w:rsid w:val="00970754"/>
    <w:rsid w:val="00970974"/>
    <w:rsid w:val="00970F1A"/>
    <w:rsid w:val="009712BC"/>
    <w:rsid w:val="009712E1"/>
    <w:rsid w:val="00971391"/>
    <w:rsid w:val="0097198B"/>
    <w:rsid w:val="00971E0B"/>
    <w:rsid w:val="009729D6"/>
    <w:rsid w:val="00972DEC"/>
    <w:rsid w:val="00972EE1"/>
    <w:rsid w:val="009730FB"/>
    <w:rsid w:val="00973C47"/>
    <w:rsid w:val="00973CD8"/>
    <w:rsid w:val="009744F7"/>
    <w:rsid w:val="00974688"/>
    <w:rsid w:val="00974CF3"/>
    <w:rsid w:val="00975460"/>
    <w:rsid w:val="009755B4"/>
    <w:rsid w:val="00975B1E"/>
    <w:rsid w:val="00975E01"/>
    <w:rsid w:val="009764C6"/>
    <w:rsid w:val="0097680A"/>
    <w:rsid w:val="00976A8A"/>
    <w:rsid w:val="00976CF3"/>
    <w:rsid w:val="00976D46"/>
    <w:rsid w:val="00977564"/>
    <w:rsid w:val="00977807"/>
    <w:rsid w:val="00977C11"/>
    <w:rsid w:val="00980294"/>
    <w:rsid w:val="00980341"/>
    <w:rsid w:val="009806FF"/>
    <w:rsid w:val="00980F60"/>
    <w:rsid w:val="009814D0"/>
    <w:rsid w:val="009830D4"/>
    <w:rsid w:val="009843CE"/>
    <w:rsid w:val="00984522"/>
    <w:rsid w:val="00984CC6"/>
    <w:rsid w:val="00985180"/>
    <w:rsid w:val="009856E8"/>
    <w:rsid w:val="00985BE7"/>
    <w:rsid w:val="00985C8F"/>
    <w:rsid w:val="0098623F"/>
    <w:rsid w:val="009864AC"/>
    <w:rsid w:val="00986702"/>
    <w:rsid w:val="00986D32"/>
    <w:rsid w:val="0098700A"/>
    <w:rsid w:val="00987164"/>
    <w:rsid w:val="00987596"/>
    <w:rsid w:val="00991010"/>
    <w:rsid w:val="009911EF"/>
    <w:rsid w:val="00991AE2"/>
    <w:rsid w:val="00991E8C"/>
    <w:rsid w:val="009927B3"/>
    <w:rsid w:val="0099311E"/>
    <w:rsid w:val="009937BD"/>
    <w:rsid w:val="00993A58"/>
    <w:rsid w:val="00994198"/>
    <w:rsid w:val="009941F3"/>
    <w:rsid w:val="00995526"/>
    <w:rsid w:val="00995671"/>
    <w:rsid w:val="00995702"/>
    <w:rsid w:val="0099585F"/>
    <w:rsid w:val="00995951"/>
    <w:rsid w:val="00995F9D"/>
    <w:rsid w:val="009963D0"/>
    <w:rsid w:val="009970E1"/>
    <w:rsid w:val="00997234"/>
    <w:rsid w:val="00997F30"/>
    <w:rsid w:val="00997F94"/>
    <w:rsid w:val="00997FE0"/>
    <w:rsid w:val="009A0017"/>
    <w:rsid w:val="009A0337"/>
    <w:rsid w:val="009A0B77"/>
    <w:rsid w:val="009A0FDB"/>
    <w:rsid w:val="009A1101"/>
    <w:rsid w:val="009A1198"/>
    <w:rsid w:val="009A1441"/>
    <w:rsid w:val="009A146A"/>
    <w:rsid w:val="009A18A2"/>
    <w:rsid w:val="009A1E25"/>
    <w:rsid w:val="009A353C"/>
    <w:rsid w:val="009A37BE"/>
    <w:rsid w:val="009A3929"/>
    <w:rsid w:val="009A39F9"/>
    <w:rsid w:val="009A3F97"/>
    <w:rsid w:val="009A4076"/>
    <w:rsid w:val="009A4B30"/>
    <w:rsid w:val="009A4E13"/>
    <w:rsid w:val="009A5301"/>
    <w:rsid w:val="009A5463"/>
    <w:rsid w:val="009A55D8"/>
    <w:rsid w:val="009A6241"/>
    <w:rsid w:val="009A6903"/>
    <w:rsid w:val="009A6E97"/>
    <w:rsid w:val="009A7541"/>
    <w:rsid w:val="009A77CA"/>
    <w:rsid w:val="009A7F07"/>
    <w:rsid w:val="009B012E"/>
    <w:rsid w:val="009B022A"/>
    <w:rsid w:val="009B0717"/>
    <w:rsid w:val="009B0911"/>
    <w:rsid w:val="009B0D3E"/>
    <w:rsid w:val="009B0FC6"/>
    <w:rsid w:val="009B1009"/>
    <w:rsid w:val="009B12AF"/>
    <w:rsid w:val="009B171D"/>
    <w:rsid w:val="009B1945"/>
    <w:rsid w:val="009B1A1A"/>
    <w:rsid w:val="009B1E51"/>
    <w:rsid w:val="009B29F9"/>
    <w:rsid w:val="009B2ABD"/>
    <w:rsid w:val="009B2CED"/>
    <w:rsid w:val="009B2E4E"/>
    <w:rsid w:val="009B43FD"/>
    <w:rsid w:val="009B4599"/>
    <w:rsid w:val="009B5821"/>
    <w:rsid w:val="009B6F56"/>
    <w:rsid w:val="009B7DB3"/>
    <w:rsid w:val="009C0011"/>
    <w:rsid w:val="009C05AE"/>
    <w:rsid w:val="009C08AE"/>
    <w:rsid w:val="009C0900"/>
    <w:rsid w:val="009C0AB6"/>
    <w:rsid w:val="009C0C10"/>
    <w:rsid w:val="009C0E4E"/>
    <w:rsid w:val="009C111F"/>
    <w:rsid w:val="009C1199"/>
    <w:rsid w:val="009C187E"/>
    <w:rsid w:val="009C192E"/>
    <w:rsid w:val="009C1A9E"/>
    <w:rsid w:val="009C1B8B"/>
    <w:rsid w:val="009C2D7B"/>
    <w:rsid w:val="009C3BA6"/>
    <w:rsid w:val="009C3F8E"/>
    <w:rsid w:val="009C4541"/>
    <w:rsid w:val="009C49B1"/>
    <w:rsid w:val="009C4FF9"/>
    <w:rsid w:val="009C51A2"/>
    <w:rsid w:val="009C60C6"/>
    <w:rsid w:val="009C6E95"/>
    <w:rsid w:val="009C6EBC"/>
    <w:rsid w:val="009C72F8"/>
    <w:rsid w:val="009C73DD"/>
    <w:rsid w:val="009C7486"/>
    <w:rsid w:val="009D05EC"/>
    <w:rsid w:val="009D0D9C"/>
    <w:rsid w:val="009D17B0"/>
    <w:rsid w:val="009D17DC"/>
    <w:rsid w:val="009D1A27"/>
    <w:rsid w:val="009D20F0"/>
    <w:rsid w:val="009D23B2"/>
    <w:rsid w:val="009D26CA"/>
    <w:rsid w:val="009D33B1"/>
    <w:rsid w:val="009D3597"/>
    <w:rsid w:val="009D40CA"/>
    <w:rsid w:val="009D5543"/>
    <w:rsid w:val="009D56A4"/>
    <w:rsid w:val="009D5F99"/>
    <w:rsid w:val="009D60A6"/>
    <w:rsid w:val="009D6D61"/>
    <w:rsid w:val="009D6DA8"/>
    <w:rsid w:val="009D75D8"/>
    <w:rsid w:val="009E02CA"/>
    <w:rsid w:val="009E0597"/>
    <w:rsid w:val="009E08C5"/>
    <w:rsid w:val="009E0DBE"/>
    <w:rsid w:val="009E1C29"/>
    <w:rsid w:val="009E2103"/>
    <w:rsid w:val="009E2456"/>
    <w:rsid w:val="009E265A"/>
    <w:rsid w:val="009E2A0F"/>
    <w:rsid w:val="009E337B"/>
    <w:rsid w:val="009E3855"/>
    <w:rsid w:val="009E39FC"/>
    <w:rsid w:val="009E3D0A"/>
    <w:rsid w:val="009E3E5D"/>
    <w:rsid w:val="009E4116"/>
    <w:rsid w:val="009E42EE"/>
    <w:rsid w:val="009E485B"/>
    <w:rsid w:val="009E5304"/>
    <w:rsid w:val="009E55BE"/>
    <w:rsid w:val="009E58BC"/>
    <w:rsid w:val="009E5DFD"/>
    <w:rsid w:val="009E66B1"/>
    <w:rsid w:val="009E6B04"/>
    <w:rsid w:val="009F0395"/>
    <w:rsid w:val="009F05A8"/>
    <w:rsid w:val="009F0752"/>
    <w:rsid w:val="009F125A"/>
    <w:rsid w:val="009F16C8"/>
    <w:rsid w:val="009F17E2"/>
    <w:rsid w:val="009F1D78"/>
    <w:rsid w:val="009F1FBE"/>
    <w:rsid w:val="009F2713"/>
    <w:rsid w:val="009F37B5"/>
    <w:rsid w:val="009F4079"/>
    <w:rsid w:val="009F4373"/>
    <w:rsid w:val="009F52ED"/>
    <w:rsid w:val="009F53D0"/>
    <w:rsid w:val="009F5459"/>
    <w:rsid w:val="009F553D"/>
    <w:rsid w:val="009F5670"/>
    <w:rsid w:val="009F5844"/>
    <w:rsid w:val="009F588D"/>
    <w:rsid w:val="009F5F1D"/>
    <w:rsid w:val="009F5FBA"/>
    <w:rsid w:val="009F602C"/>
    <w:rsid w:val="009F6585"/>
    <w:rsid w:val="009F6595"/>
    <w:rsid w:val="009F6759"/>
    <w:rsid w:val="009F7A7B"/>
    <w:rsid w:val="009F7D0D"/>
    <w:rsid w:val="00A00BD3"/>
    <w:rsid w:val="00A00C3C"/>
    <w:rsid w:val="00A00E0F"/>
    <w:rsid w:val="00A01263"/>
    <w:rsid w:val="00A01365"/>
    <w:rsid w:val="00A01542"/>
    <w:rsid w:val="00A0172E"/>
    <w:rsid w:val="00A01CAC"/>
    <w:rsid w:val="00A02550"/>
    <w:rsid w:val="00A0274B"/>
    <w:rsid w:val="00A02924"/>
    <w:rsid w:val="00A02A67"/>
    <w:rsid w:val="00A03126"/>
    <w:rsid w:val="00A03723"/>
    <w:rsid w:val="00A0393C"/>
    <w:rsid w:val="00A046CB"/>
    <w:rsid w:val="00A04B4D"/>
    <w:rsid w:val="00A04F84"/>
    <w:rsid w:val="00A052A8"/>
    <w:rsid w:val="00A05731"/>
    <w:rsid w:val="00A05FC7"/>
    <w:rsid w:val="00A066CE"/>
    <w:rsid w:val="00A067E3"/>
    <w:rsid w:val="00A069BD"/>
    <w:rsid w:val="00A06AAD"/>
    <w:rsid w:val="00A06AD2"/>
    <w:rsid w:val="00A070CF"/>
    <w:rsid w:val="00A0747D"/>
    <w:rsid w:val="00A07C79"/>
    <w:rsid w:val="00A07C82"/>
    <w:rsid w:val="00A1011D"/>
    <w:rsid w:val="00A10385"/>
    <w:rsid w:val="00A1044C"/>
    <w:rsid w:val="00A10798"/>
    <w:rsid w:val="00A10EFE"/>
    <w:rsid w:val="00A110DC"/>
    <w:rsid w:val="00A1147C"/>
    <w:rsid w:val="00A11AA2"/>
    <w:rsid w:val="00A12541"/>
    <w:rsid w:val="00A131B8"/>
    <w:rsid w:val="00A13D99"/>
    <w:rsid w:val="00A13DEF"/>
    <w:rsid w:val="00A13F74"/>
    <w:rsid w:val="00A14152"/>
    <w:rsid w:val="00A145AA"/>
    <w:rsid w:val="00A14D82"/>
    <w:rsid w:val="00A14F4F"/>
    <w:rsid w:val="00A1502B"/>
    <w:rsid w:val="00A151CA"/>
    <w:rsid w:val="00A15D74"/>
    <w:rsid w:val="00A16D26"/>
    <w:rsid w:val="00A177D0"/>
    <w:rsid w:val="00A17E79"/>
    <w:rsid w:val="00A2032C"/>
    <w:rsid w:val="00A206BE"/>
    <w:rsid w:val="00A20E96"/>
    <w:rsid w:val="00A2130B"/>
    <w:rsid w:val="00A21976"/>
    <w:rsid w:val="00A23231"/>
    <w:rsid w:val="00A23318"/>
    <w:rsid w:val="00A23336"/>
    <w:rsid w:val="00A2344E"/>
    <w:rsid w:val="00A23535"/>
    <w:rsid w:val="00A2412B"/>
    <w:rsid w:val="00A24130"/>
    <w:rsid w:val="00A2432B"/>
    <w:rsid w:val="00A2440D"/>
    <w:rsid w:val="00A2450B"/>
    <w:rsid w:val="00A2496A"/>
    <w:rsid w:val="00A24A37"/>
    <w:rsid w:val="00A269AC"/>
    <w:rsid w:val="00A26C74"/>
    <w:rsid w:val="00A26F29"/>
    <w:rsid w:val="00A277E7"/>
    <w:rsid w:val="00A30100"/>
    <w:rsid w:val="00A30705"/>
    <w:rsid w:val="00A30C49"/>
    <w:rsid w:val="00A31BDD"/>
    <w:rsid w:val="00A31E60"/>
    <w:rsid w:val="00A324A9"/>
    <w:rsid w:val="00A326C1"/>
    <w:rsid w:val="00A3337E"/>
    <w:rsid w:val="00A33722"/>
    <w:rsid w:val="00A33EC5"/>
    <w:rsid w:val="00A345B3"/>
    <w:rsid w:val="00A348AA"/>
    <w:rsid w:val="00A3514C"/>
    <w:rsid w:val="00A355CA"/>
    <w:rsid w:val="00A35808"/>
    <w:rsid w:val="00A359EB"/>
    <w:rsid w:val="00A35E69"/>
    <w:rsid w:val="00A362EB"/>
    <w:rsid w:val="00A3678D"/>
    <w:rsid w:val="00A36D48"/>
    <w:rsid w:val="00A36E0B"/>
    <w:rsid w:val="00A36F71"/>
    <w:rsid w:val="00A36F88"/>
    <w:rsid w:val="00A3726C"/>
    <w:rsid w:val="00A3746C"/>
    <w:rsid w:val="00A37DEA"/>
    <w:rsid w:val="00A37EF9"/>
    <w:rsid w:val="00A403B3"/>
    <w:rsid w:val="00A40766"/>
    <w:rsid w:val="00A40C49"/>
    <w:rsid w:val="00A41340"/>
    <w:rsid w:val="00A41DB6"/>
    <w:rsid w:val="00A421B4"/>
    <w:rsid w:val="00A425F0"/>
    <w:rsid w:val="00A42E96"/>
    <w:rsid w:val="00A42F82"/>
    <w:rsid w:val="00A4315F"/>
    <w:rsid w:val="00A43916"/>
    <w:rsid w:val="00A43AA5"/>
    <w:rsid w:val="00A43B6D"/>
    <w:rsid w:val="00A43F5F"/>
    <w:rsid w:val="00A441A1"/>
    <w:rsid w:val="00A441AD"/>
    <w:rsid w:val="00A44280"/>
    <w:rsid w:val="00A44323"/>
    <w:rsid w:val="00A44AA8"/>
    <w:rsid w:val="00A44F49"/>
    <w:rsid w:val="00A45241"/>
    <w:rsid w:val="00A45253"/>
    <w:rsid w:val="00A45BDD"/>
    <w:rsid w:val="00A466E4"/>
    <w:rsid w:val="00A46B60"/>
    <w:rsid w:val="00A472BC"/>
    <w:rsid w:val="00A474CA"/>
    <w:rsid w:val="00A47E75"/>
    <w:rsid w:val="00A5013C"/>
    <w:rsid w:val="00A50807"/>
    <w:rsid w:val="00A5097C"/>
    <w:rsid w:val="00A50B37"/>
    <w:rsid w:val="00A5116D"/>
    <w:rsid w:val="00A51775"/>
    <w:rsid w:val="00A52586"/>
    <w:rsid w:val="00A530CA"/>
    <w:rsid w:val="00A5336C"/>
    <w:rsid w:val="00A537C9"/>
    <w:rsid w:val="00A540AA"/>
    <w:rsid w:val="00A541BD"/>
    <w:rsid w:val="00A545F4"/>
    <w:rsid w:val="00A5486C"/>
    <w:rsid w:val="00A549BD"/>
    <w:rsid w:val="00A54A3E"/>
    <w:rsid w:val="00A54F5C"/>
    <w:rsid w:val="00A559F3"/>
    <w:rsid w:val="00A55A43"/>
    <w:rsid w:val="00A55BDD"/>
    <w:rsid w:val="00A5614E"/>
    <w:rsid w:val="00A56F2B"/>
    <w:rsid w:val="00A5728D"/>
    <w:rsid w:val="00A5736E"/>
    <w:rsid w:val="00A60030"/>
    <w:rsid w:val="00A603D1"/>
    <w:rsid w:val="00A60B2F"/>
    <w:rsid w:val="00A617DC"/>
    <w:rsid w:val="00A6184F"/>
    <w:rsid w:val="00A62A01"/>
    <w:rsid w:val="00A62CEF"/>
    <w:rsid w:val="00A6308E"/>
    <w:rsid w:val="00A634FF"/>
    <w:rsid w:val="00A63811"/>
    <w:rsid w:val="00A63D0C"/>
    <w:rsid w:val="00A63EB4"/>
    <w:rsid w:val="00A63FB1"/>
    <w:rsid w:val="00A6415E"/>
    <w:rsid w:val="00A6467B"/>
    <w:rsid w:val="00A659F9"/>
    <w:rsid w:val="00A6619F"/>
    <w:rsid w:val="00A6675B"/>
    <w:rsid w:val="00A66945"/>
    <w:rsid w:val="00A66F8B"/>
    <w:rsid w:val="00A67308"/>
    <w:rsid w:val="00A675BA"/>
    <w:rsid w:val="00A67A24"/>
    <w:rsid w:val="00A67E04"/>
    <w:rsid w:val="00A67E2B"/>
    <w:rsid w:val="00A67F13"/>
    <w:rsid w:val="00A706A2"/>
    <w:rsid w:val="00A70840"/>
    <w:rsid w:val="00A708E4"/>
    <w:rsid w:val="00A70A27"/>
    <w:rsid w:val="00A70AD3"/>
    <w:rsid w:val="00A70E1F"/>
    <w:rsid w:val="00A70E21"/>
    <w:rsid w:val="00A71C78"/>
    <w:rsid w:val="00A71F56"/>
    <w:rsid w:val="00A72172"/>
    <w:rsid w:val="00A7238D"/>
    <w:rsid w:val="00A72615"/>
    <w:rsid w:val="00A72DA9"/>
    <w:rsid w:val="00A72FCE"/>
    <w:rsid w:val="00A73332"/>
    <w:rsid w:val="00A73512"/>
    <w:rsid w:val="00A73771"/>
    <w:rsid w:val="00A73820"/>
    <w:rsid w:val="00A74F20"/>
    <w:rsid w:val="00A75570"/>
    <w:rsid w:val="00A758E6"/>
    <w:rsid w:val="00A75C29"/>
    <w:rsid w:val="00A75DA4"/>
    <w:rsid w:val="00A768E1"/>
    <w:rsid w:val="00A777E5"/>
    <w:rsid w:val="00A778CF"/>
    <w:rsid w:val="00A77DFC"/>
    <w:rsid w:val="00A8013E"/>
    <w:rsid w:val="00A809C0"/>
    <w:rsid w:val="00A81124"/>
    <w:rsid w:val="00A815A6"/>
    <w:rsid w:val="00A8164B"/>
    <w:rsid w:val="00A81C8D"/>
    <w:rsid w:val="00A81F13"/>
    <w:rsid w:val="00A82350"/>
    <w:rsid w:val="00A8262A"/>
    <w:rsid w:val="00A834DD"/>
    <w:rsid w:val="00A8432E"/>
    <w:rsid w:val="00A84A56"/>
    <w:rsid w:val="00A84D3A"/>
    <w:rsid w:val="00A84DA9"/>
    <w:rsid w:val="00A8551C"/>
    <w:rsid w:val="00A860B3"/>
    <w:rsid w:val="00A861F4"/>
    <w:rsid w:val="00A86EAE"/>
    <w:rsid w:val="00A871E5"/>
    <w:rsid w:val="00A87E2D"/>
    <w:rsid w:val="00A91391"/>
    <w:rsid w:val="00A91499"/>
    <w:rsid w:val="00A92098"/>
    <w:rsid w:val="00A92419"/>
    <w:rsid w:val="00A929F7"/>
    <w:rsid w:val="00A92B1A"/>
    <w:rsid w:val="00A92D68"/>
    <w:rsid w:val="00A92E4D"/>
    <w:rsid w:val="00A92ECE"/>
    <w:rsid w:val="00A938CE"/>
    <w:rsid w:val="00A938EA"/>
    <w:rsid w:val="00A93C58"/>
    <w:rsid w:val="00A93D3B"/>
    <w:rsid w:val="00A93E6C"/>
    <w:rsid w:val="00A94039"/>
    <w:rsid w:val="00A94350"/>
    <w:rsid w:val="00A948B6"/>
    <w:rsid w:val="00A953C8"/>
    <w:rsid w:val="00A953F6"/>
    <w:rsid w:val="00A95AE0"/>
    <w:rsid w:val="00A95AF7"/>
    <w:rsid w:val="00A95B38"/>
    <w:rsid w:val="00A96475"/>
    <w:rsid w:val="00A96E6D"/>
    <w:rsid w:val="00A9776A"/>
    <w:rsid w:val="00AA0161"/>
    <w:rsid w:val="00AA0325"/>
    <w:rsid w:val="00AA16CE"/>
    <w:rsid w:val="00AA1730"/>
    <w:rsid w:val="00AA1B4C"/>
    <w:rsid w:val="00AA1CBA"/>
    <w:rsid w:val="00AA1F40"/>
    <w:rsid w:val="00AA1F7E"/>
    <w:rsid w:val="00AA1FFF"/>
    <w:rsid w:val="00AA24C4"/>
    <w:rsid w:val="00AA31A7"/>
    <w:rsid w:val="00AA3B11"/>
    <w:rsid w:val="00AA50C2"/>
    <w:rsid w:val="00AA551C"/>
    <w:rsid w:val="00AA5649"/>
    <w:rsid w:val="00AA6342"/>
    <w:rsid w:val="00AA6546"/>
    <w:rsid w:val="00AA69DD"/>
    <w:rsid w:val="00AA6AF5"/>
    <w:rsid w:val="00AA6D90"/>
    <w:rsid w:val="00AA7685"/>
    <w:rsid w:val="00AA7B9E"/>
    <w:rsid w:val="00AA7D53"/>
    <w:rsid w:val="00AA7E89"/>
    <w:rsid w:val="00AB095D"/>
    <w:rsid w:val="00AB0AD3"/>
    <w:rsid w:val="00AB0EE8"/>
    <w:rsid w:val="00AB142B"/>
    <w:rsid w:val="00AB157E"/>
    <w:rsid w:val="00AB2546"/>
    <w:rsid w:val="00AB2648"/>
    <w:rsid w:val="00AB2BBC"/>
    <w:rsid w:val="00AB3828"/>
    <w:rsid w:val="00AB3BC5"/>
    <w:rsid w:val="00AB3C7A"/>
    <w:rsid w:val="00AB4115"/>
    <w:rsid w:val="00AB4738"/>
    <w:rsid w:val="00AB48EB"/>
    <w:rsid w:val="00AB55D5"/>
    <w:rsid w:val="00AB5D35"/>
    <w:rsid w:val="00AB5E27"/>
    <w:rsid w:val="00AB6074"/>
    <w:rsid w:val="00AB6776"/>
    <w:rsid w:val="00AB67FE"/>
    <w:rsid w:val="00AB6890"/>
    <w:rsid w:val="00AB7C6C"/>
    <w:rsid w:val="00AB7FAD"/>
    <w:rsid w:val="00AC029F"/>
    <w:rsid w:val="00AC04F1"/>
    <w:rsid w:val="00AC1E74"/>
    <w:rsid w:val="00AC29F8"/>
    <w:rsid w:val="00AC2D0D"/>
    <w:rsid w:val="00AC306F"/>
    <w:rsid w:val="00AC317F"/>
    <w:rsid w:val="00AC34D1"/>
    <w:rsid w:val="00AC3A03"/>
    <w:rsid w:val="00AC41D5"/>
    <w:rsid w:val="00AC4352"/>
    <w:rsid w:val="00AC48DE"/>
    <w:rsid w:val="00AC4D6F"/>
    <w:rsid w:val="00AC4E6C"/>
    <w:rsid w:val="00AC50A3"/>
    <w:rsid w:val="00AC51EF"/>
    <w:rsid w:val="00AC5E25"/>
    <w:rsid w:val="00AC6225"/>
    <w:rsid w:val="00AC6336"/>
    <w:rsid w:val="00AC7246"/>
    <w:rsid w:val="00AC7C7D"/>
    <w:rsid w:val="00AC7E7B"/>
    <w:rsid w:val="00AD0938"/>
    <w:rsid w:val="00AD0A9F"/>
    <w:rsid w:val="00AD15E2"/>
    <w:rsid w:val="00AD15EA"/>
    <w:rsid w:val="00AD1DD5"/>
    <w:rsid w:val="00AD2DAD"/>
    <w:rsid w:val="00AD2DDE"/>
    <w:rsid w:val="00AD2DE4"/>
    <w:rsid w:val="00AD2E4A"/>
    <w:rsid w:val="00AD30FC"/>
    <w:rsid w:val="00AD3210"/>
    <w:rsid w:val="00AD354E"/>
    <w:rsid w:val="00AD3626"/>
    <w:rsid w:val="00AD38A9"/>
    <w:rsid w:val="00AD3EEB"/>
    <w:rsid w:val="00AD4595"/>
    <w:rsid w:val="00AD4BC3"/>
    <w:rsid w:val="00AD5092"/>
    <w:rsid w:val="00AD5333"/>
    <w:rsid w:val="00AD560E"/>
    <w:rsid w:val="00AD5834"/>
    <w:rsid w:val="00AD6E66"/>
    <w:rsid w:val="00AD75F1"/>
    <w:rsid w:val="00AD7BFC"/>
    <w:rsid w:val="00AE0069"/>
    <w:rsid w:val="00AE01BD"/>
    <w:rsid w:val="00AE089D"/>
    <w:rsid w:val="00AE09FA"/>
    <w:rsid w:val="00AE1AA4"/>
    <w:rsid w:val="00AE209A"/>
    <w:rsid w:val="00AE2209"/>
    <w:rsid w:val="00AE2F1C"/>
    <w:rsid w:val="00AE2F5A"/>
    <w:rsid w:val="00AE2F6E"/>
    <w:rsid w:val="00AE39A1"/>
    <w:rsid w:val="00AE3F02"/>
    <w:rsid w:val="00AE490E"/>
    <w:rsid w:val="00AE58E9"/>
    <w:rsid w:val="00AE5A2B"/>
    <w:rsid w:val="00AE5FD4"/>
    <w:rsid w:val="00AE6404"/>
    <w:rsid w:val="00AE6912"/>
    <w:rsid w:val="00AE69DD"/>
    <w:rsid w:val="00AE6B9E"/>
    <w:rsid w:val="00AE6FA1"/>
    <w:rsid w:val="00AE7105"/>
    <w:rsid w:val="00AE7AD1"/>
    <w:rsid w:val="00AE7F90"/>
    <w:rsid w:val="00AF0445"/>
    <w:rsid w:val="00AF05AE"/>
    <w:rsid w:val="00AF070C"/>
    <w:rsid w:val="00AF0881"/>
    <w:rsid w:val="00AF122A"/>
    <w:rsid w:val="00AF14BC"/>
    <w:rsid w:val="00AF1DE6"/>
    <w:rsid w:val="00AF2080"/>
    <w:rsid w:val="00AF2C0C"/>
    <w:rsid w:val="00AF3F8D"/>
    <w:rsid w:val="00AF448F"/>
    <w:rsid w:val="00AF4AB5"/>
    <w:rsid w:val="00AF4AD3"/>
    <w:rsid w:val="00AF4BE2"/>
    <w:rsid w:val="00AF53D4"/>
    <w:rsid w:val="00AF5415"/>
    <w:rsid w:val="00AF554E"/>
    <w:rsid w:val="00AF5654"/>
    <w:rsid w:val="00AF609C"/>
    <w:rsid w:val="00AF65B3"/>
    <w:rsid w:val="00AF6BC7"/>
    <w:rsid w:val="00AF6F21"/>
    <w:rsid w:val="00AF7062"/>
    <w:rsid w:val="00AF7135"/>
    <w:rsid w:val="00AF71C4"/>
    <w:rsid w:val="00AF7361"/>
    <w:rsid w:val="00B00377"/>
    <w:rsid w:val="00B0046E"/>
    <w:rsid w:val="00B0132B"/>
    <w:rsid w:val="00B02494"/>
    <w:rsid w:val="00B02497"/>
    <w:rsid w:val="00B027B1"/>
    <w:rsid w:val="00B02948"/>
    <w:rsid w:val="00B03551"/>
    <w:rsid w:val="00B04238"/>
    <w:rsid w:val="00B04915"/>
    <w:rsid w:val="00B0493A"/>
    <w:rsid w:val="00B0495C"/>
    <w:rsid w:val="00B04DB8"/>
    <w:rsid w:val="00B04DF5"/>
    <w:rsid w:val="00B0534E"/>
    <w:rsid w:val="00B05561"/>
    <w:rsid w:val="00B057DA"/>
    <w:rsid w:val="00B05CF2"/>
    <w:rsid w:val="00B05E38"/>
    <w:rsid w:val="00B05EE2"/>
    <w:rsid w:val="00B05F50"/>
    <w:rsid w:val="00B05F7C"/>
    <w:rsid w:val="00B0626C"/>
    <w:rsid w:val="00B0637C"/>
    <w:rsid w:val="00B06397"/>
    <w:rsid w:val="00B06440"/>
    <w:rsid w:val="00B07F59"/>
    <w:rsid w:val="00B1026F"/>
    <w:rsid w:val="00B10811"/>
    <w:rsid w:val="00B10840"/>
    <w:rsid w:val="00B118FA"/>
    <w:rsid w:val="00B11E36"/>
    <w:rsid w:val="00B11F2E"/>
    <w:rsid w:val="00B12131"/>
    <w:rsid w:val="00B139FE"/>
    <w:rsid w:val="00B13C22"/>
    <w:rsid w:val="00B140E6"/>
    <w:rsid w:val="00B143D0"/>
    <w:rsid w:val="00B149A4"/>
    <w:rsid w:val="00B14F40"/>
    <w:rsid w:val="00B15783"/>
    <w:rsid w:val="00B15CA5"/>
    <w:rsid w:val="00B169B0"/>
    <w:rsid w:val="00B17346"/>
    <w:rsid w:val="00B173EE"/>
    <w:rsid w:val="00B17599"/>
    <w:rsid w:val="00B1760E"/>
    <w:rsid w:val="00B17643"/>
    <w:rsid w:val="00B1798E"/>
    <w:rsid w:val="00B17A28"/>
    <w:rsid w:val="00B17EE2"/>
    <w:rsid w:val="00B207D8"/>
    <w:rsid w:val="00B20BFA"/>
    <w:rsid w:val="00B219B7"/>
    <w:rsid w:val="00B22AF7"/>
    <w:rsid w:val="00B22C5F"/>
    <w:rsid w:val="00B22DAC"/>
    <w:rsid w:val="00B2392A"/>
    <w:rsid w:val="00B23ADA"/>
    <w:rsid w:val="00B23DE8"/>
    <w:rsid w:val="00B24987"/>
    <w:rsid w:val="00B252E1"/>
    <w:rsid w:val="00B25554"/>
    <w:rsid w:val="00B256BE"/>
    <w:rsid w:val="00B256F6"/>
    <w:rsid w:val="00B25F0A"/>
    <w:rsid w:val="00B26307"/>
    <w:rsid w:val="00B2668F"/>
    <w:rsid w:val="00B26700"/>
    <w:rsid w:val="00B27122"/>
    <w:rsid w:val="00B27282"/>
    <w:rsid w:val="00B3063B"/>
    <w:rsid w:val="00B30A3A"/>
    <w:rsid w:val="00B30F7D"/>
    <w:rsid w:val="00B3192B"/>
    <w:rsid w:val="00B31B84"/>
    <w:rsid w:val="00B31C19"/>
    <w:rsid w:val="00B31C47"/>
    <w:rsid w:val="00B32571"/>
    <w:rsid w:val="00B327A8"/>
    <w:rsid w:val="00B32C5A"/>
    <w:rsid w:val="00B32CED"/>
    <w:rsid w:val="00B3376F"/>
    <w:rsid w:val="00B3387C"/>
    <w:rsid w:val="00B3398E"/>
    <w:rsid w:val="00B3437F"/>
    <w:rsid w:val="00B34EED"/>
    <w:rsid w:val="00B35308"/>
    <w:rsid w:val="00B357E2"/>
    <w:rsid w:val="00B35FCC"/>
    <w:rsid w:val="00B36B1D"/>
    <w:rsid w:val="00B400BB"/>
    <w:rsid w:val="00B40160"/>
    <w:rsid w:val="00B4098A"/>
    <w:rsid w:val="00B409F2"/>
    <w:rsid w:val="00B40DB7"/>
    <w:rsid w:val="00B40F2D"/>
    <w:rsid w:val="00B41156"/>
    <w:rsid w:val="00B41486"/>
    <w:rsid w:val="00B415B0"/>
    <w:rsid w:val="00B418D9"/>
    <w:rsid w:val="00B419C7"/>
    <w:rsid w:val="00B41CAA"/>
    <w:rsid w:val="00B4217C"/>
    <w:rsid w:val="00B432B5"/>
    <w:rsid w:val="00B43339"/>
    <w:rsid w:val="00B43C7A"/>
    <w:rsid w:val="00B446C7"/>
    <w:rsid w:val="00B44BF1"/>
    <w:rsid w:val="00B45A7B"/>
    <w:rsid w:val="00B46137"/>
    <w:rsid w:val="00B4656A"/>
    <w:rsid w:val="00B46588"/>
    <w:rsid w:val="00B46684"/>
    <w:rsid w:val="00B469FF"/>
    <w:rsid w:val="00B4704C"/>
    <w:rsid w:val="00B47A3F"/>
    <w:rsid w:val="00B47D1D"/>
    <w:rsid w:val="00B5001D"/>
    <w:rsid w:val="00B505DD"/>
    <w:rsid w:val="00B508B8"/>
    <w:rsid w:val="00B50CC0"/>
    <w:rsid w:val="00B50E77"/>
    <w:rsid w:val="00B51093"/>
    <w:rsid w:val="00B514A6"/>
    <w:rsid w:val="00B51DD7"/>
    <w:rsid w:val="00B51FD4"/>
    <w:rsid w:val="00B521F4"/>
    <w:rsid w:val="00B521F7"/>
    <w:rsid w:val="00B52A84"/>
    <w:rsid w:val="00B53123"/>
    <w:rsid w:val="00B53DC2"/>
    <w:rsid w:val="00B53E37"/>
    <w:rsid w:val="00B53F1D"/>
    <w:rsid w:val="00B542C7"/>
    <w:rsid w:val="00B54AE9"/>
    <w:rsid w:val="00B54E51"/>
    <w:rsid w:val="00B54F1F"/>
    <w:rsid w:val="00B55028"/>
    <w:rsid w:val="00B55144"/>
    <w:rsid w:val="00B55760"/>
    <w:rsid w:val="00B5615B"/>
    <w:rsid w:val="00B5664A"/>
    <w:rsid w:val="00B566B9"/>
    <w:rsid w:val="00B5740D"/>
    <w:rsid w:val="00B603EC"/>
    <w:rsid w:val="00B60538"/>
    <w:rsid w:val="00B609F2"/>
    <w:rsid w:val="00B61181"/>
    <w:rsid w:val="00B618BB"/>
    <w:rsid w:val="00B619C0"/>
    <w:rsid w:val="00B621B3"/>
    <w:rsid w:val="00B627C8"/>
    <w:rsid w:val="00B628FE"/>
    <w:rsid w:val="00B62B8B"/>
    <w:rsid w:val="00B62FD2"/>
    <w:rsid w:val="00B63804"/>
    <w:rsid w:val="00B639AC"/>
    <w:rsid w:val="00B639DA"/>
    <w:rsid w:val="00B63E5B"/>
    <w:rsid w:val="00B63FE4"/>
    <w:rsid w:val="00B643ED"/>
    <w:rsid w:val="00B649B4"/>
    <w:rsid w:val="00B64F41"/>
    <w:rsid w:val="00B650B8"/>
    <w:rsid w:val="00B65285"/>
    <w:rsid w:val="00B65CF5"/>
    <w:rsid w:val="00B65F22"/>
    <w:rsid w:val="00B66CD4"/>
    <w:rsid w:val="00B66DBF"/>
    <w:rsid w:val="00B674C3"/>
    <w:rsid w:val="00B675C4"/>
    <w:rsid w:val="00B6773B"/>
    <w:rsid w:val="00B67795"/>
    <w:rsid w:val="00B67F68"/>
    <w:rsid w:val="00B70789"/>
    <w:rsid w:val="00B70813"/>
    <w:rsid w:val="00B70993"/>
    <w:rsid w:val="00B70A84"/>
    <w:rsid w:val="00B7129A"/>
    <w:rsid w:val="00B71665"/>
    <w:rsid w:val="00B71713"/>
    <w:rsid w:val="00B717A9"/>
    <w:rsid w:val="00B71F79"/>
    <w:rsid w:val="00B725D7"/>
    <w:rsid w:val="00B72728"/>
    <w:rsid w:val="00B7276F"/>
    <w:rsid w:val="00B7284A"/>
    <w:rsid w:val="00B730C2"/>
    <w:rsid w:val="00B73888"/>
    <w:rsid w:val="00B73986"/>
    <w:rsid w:val="00B73B77"/>
    <w:rsid w:val="00B741DD"/>
    <w:rsid w:val="00B754D1"/>
    <w:rsid w:val="00B7559D"/>
    <w:rsid w:val="00B75E62"/>
    <w:rsid w:val="00B76367"/>
    <w:rsid w:val="00B77508"/>
    <w:rsid w:val="00B77782"/>
    <w:rsid w:val="00B77AA1"/>
    <w:rsid w:val="00B77E88"/>
    <w:rsid w:val="00B80285"/>
    <w:rsid w:val="00B807E0"/>
    <w:rsid w:val="00B8083A"/>
    <w:rsid w:val="00B80C27"/>
    <w:rsid w:val="00B810C6"/>
    <w:rsid w:val="00B813ED"/>
    <w:rsid w:val="00B8165F"/>
    <w:rsid w:val="00B816FC"/>
    <w:rsid w:val="00B81D42"/>
    <w:rsid w:val="00B81F1D"/>
    <w:rsid w:val="00B82500"/>
    <w:rsid w:val="00B8250D"/>
    <w:rsid w:val="00B82DD4"/>
    <w:rsid w:val="00B82E2C"/>
    <w:rsid w:val="00B837D6"/>
    <w:rsid w:val="00B83990"/>
    <w:rsid w:val="00B84A9E"/>
    <w:rsid w:val="00B84CFB"/>
    <w:rsid w:val="00B854F0"/>
    <w:rsid w:val="00B856EA"/>
    <w:rsid w:val="00B86647"/>
    <w:rsid w:val="00B86903"/>
    <w:rsid w:val="00B87063"/>
    <w:rsid w:val="00B876A9"/>
    <w:rsid w:val="00B8780B"/>
    <w:rsid w:val="00B87F4F"/>
    <w:rsid w:val="00B87F8A"/>
    <w:rsid w:val="00B905BD"/>
    <w:rsid w:val="00B90A14"/>
    <w:rsid w:val="00B90B69"/>
    <w:rsid w:val="00B90D77"/>
    <w:rsid w:val="00B91374"/>
    <w:rsid w:val="00B920E3"/>
    <w:rsid w:val="00B922FF"/>
    <w:rsid w:val="00B9244F"/>
    <w:rsid w:val="00B9285D"/>
    <w:rsid w:val="00B92CCB"/>
    <w:rsid w:val="00B93381"/>
    <w:rsid w:val="00B93598"/>
    <w:rsid w:val="00B93ECC"/>
    <w:rsid w:val="00B94160"/>
    <w:rsid w:val="00B941E7"/>
    <w:rsid w:val="00B9443B"/>
    <w:rsid w:val="00B945B5"/>
    <w:rsid w:val="00B9466A"/>
    <w:rsid w:val="00B94E13"/>
    <w:rsid w:val="00B94E77"/>
    <w:rsid w:val="00B95152"/>
    <w:rsid w:val="00B953A1"/>
    <w:rsid w:val="00B953E7"/>
    <w:rsid w:val="00B95597"/>
    <w:rsid w:val="00B95C75"/>
    <w:rsid w:val="00B96444"/>
    <w:rsid w:val="00B966D4"/>
    <w:rsid w:val="00B972C5"/>
    <w:rsid w:val="00B977AB"/>
    <w:rsid w:val="00B97C4F"/>
    <w:rsid w:val="00BA07AC"/>
    <w:rsid w:val="00BA0A09"/>
    <w:rsid w:val="00BA1551"/>
    <w:rsid w:val="00BA16B7"/>
    <w:rsid w:val="00BA16D0"/>
    <w:rsid w:val="00BA1E5B"/>
    <w:rsid w:val="00BA2465"/>
    <w:rsid w:val="00BA4424"/>
    <w:rsid w:val="00BA4A09"/>
    <w:rsid w:val="00BA4C27"/>
    <w:rsid w:val="00BA5848"/>
    <w:rsid w:val="00BA59FB"/>
    <w:rsid w:val="00BA5A97"/>
    <w:rsid w:val="00BA5DD3"/>
    <w:rsid w:val="00BA5E6D"/>
    <w:rsid w:val="00BA6094"/>
    <w:rsid w:val="00BA6C64"/>
    <w:rsid w:val="00BA714D"/>
    <w:rsid w:val="00BA72F8"/>
    <w:rsid w:val="00BA73D8"/>
    <w:rsid w:val="00BA7E5B"/>
    <w:rsid w:val="00BA7E87"/>
    <w:rsid w:val="00BA7ED9"/>
    <w:rsid w:val="00BA7EDD"/>
    <w:rsid w:val="00BB010B"/>
    <w:rsid w:val="00BB1177"/>
    <w:rsid w:val="00BB2275"/>
    <w:rsid w:val="00BB30B9"/>
    <w:rsid w:val="00BB4148"/>
    <w:rsid w:val="00BB41CD"/>
    <w:rsid w:val="00BB522F"/>
    <w:rsid w:val="00BB5EC2"/>
    <w:rsid w:val="00BB67FE"/>
    <w:rsid w:val="00BB68C2"/>
    <w:rsid w:val="00BB6CD8"/>
    <w:rsid w:val="00BB73F8"/>
    <w:rsid w:val="00BB74FB"/>
    <w:rsid w:val="00BC01D5"/>
    <w:rsid w:val="00BC08AF"/>
    <w:rsid w:val="00BC0AE4"/>
    <w:rsid w:val="00BC11CA"/>
    <w:rsid w:val="00BC1A3A"/>
    <w:rsid w:val="00BC2202"/>
    <w:rsid w:val="00BC2D37"/>
    <w:rsid w:val="00BC37AF"/>
    <w:rsid w:val="00BC37CE"/>
    <w:rsid w:val="00BC3CE1"/>
    <w:rsid w:val="00BC400E"/>
    <w:rsid w:val="00BC402E"/>
    <w:rsid w:val="00BC4435"/>
    <w:rsid w:val="00BC4C7D"/>
    <w:rsid w:val="00BC4D28"/>
    <w:rsid w:val="00BC4EB0"/>
    <w:rsid w:val="00BC55E9"/>
    <w:rsid w:val="00BC5720"/>
    <w:rsid w:val="00BC627D"/>
    <w:rsid w:val="00BC6A87"/>
    <w:rsid w:val="00BC7F5C"/>
    <w:rsid w:val="00BD00B4"/>
    <w:rsid w:val="00BD014C"/>
    <w:rsid w:val="00BD0199"/>
    <w:rsid w:val="00BD0D64"/>
    <w:rsid w:val="00BD0EDD"/>
    <w:rsid w:val="00BD114A"/>
    <w:rsid w:val="00BD1424"/>
    <w:rsid w:val="00BD142C"/>
    <w:rsid w:val="00BD1589"/>
    <w:rsid w:val="00BD198B"/>
    <w:rsid w:val="00BD1A28"/>
    <w:rsid w:val="00BD1BD0"/>
    <w:rsid w:val="00BD1ED0"/>
    <w:rsid w:val="00BD1F83"/>
    <w:rsid w:val="00BD2025"/>
    <w:rsid w:val="00BD29E2"/>
    <w:rsid w:val="00BD2B41"/>
    <w:rsid w:val="00BD2B9F"/>
    <w:rsid w:val="00BD4CDA"/>
    <w:rsid w:val="00BD544D"/>
    <w:rsid w:val="00BD5C89"/>
    <w:rsid w:val="00BD5EF6"/>
    <w:rsid w:val="00BD619E"/>
    <w:rsid w:val="00BD6886"/>
    <w:rsid w:val="00BD69CB"/>
    <w:rsid w:val="00BD6C80"/>
    <w:rsid w:val="00BD709A"/>
    <w:rsid w:val="00BD70B2"/>
    <w:rsid w:val="00BD764C"/>
    <w:rsid w:val="00BD775C"/>
    <w:rsid w:val="00BE04C5"/>
    <w:rsid w:val="00BE067A"/>
    <w:rsid w:val="00BE0965"/>
    <w:rsid w:val="00BE0C57"/>
    <w:rsid w:val="00BE107F"/>
    <w:rsid w:val="00BE18B3"/>
    <w:rsid w:val="00BE1E13"/>
    <w:rsid w:val="00BE206E"/>
    <w:rsid w:val="00BE211B"/>
    <w:rsid w:val="00BE2939"/>
    <w:rsid w:val="00BE2B9F"/>
    <w:rsid w:val="00BE3A46"/>
    <w:rsid w:val="00BE43FA"/>
    <w:rsid w:val="00BE50CC"/>
    <w:rsid w:val="00BE57F6"/>
    <w:rsid w:val="00BE60D3"/>
    <w:rsid w:val="00BE62AA"/>
    <w:rsid w:val="00BE6425"/>
    <w:rsid w:val="00BE667F"/>
    <w:rsid w:val="00BE6D05"/>
    <w:rsid w:val="00BE718E"/>
    <w:rsid w:val="00BF0627"/>
    <w:rsid w:val="00BF0D7D"/>
    <w:rsid w:val="00BF18C2"/>
    <w:rsid w:val="00BF1953"/>
    <w:rsid w:val="00BF1BF3"/>
    <w:rsid w:val="00BF1D1D"/>
    <w:rsid w:val="00BF257E"/>
    <w:rsid w:val="00BF25F5"/>
    <w:rsid w:val="00BF2958"/>
    <w:rsid w:val="00BF2E4C"/>
    <w:rsid w:val="00BF2F9C"/>
    <w:rsid w:val="00BF3BB3"/>
    <w:rsid w:val="00BF4523"/>
    <w:rsid w:val="00BF519C"/>
    <w:rsid w:val="00BF5D24"/>
    <w:rsid w:val="00BF5DEF"/>
    <w:rsid w:val="00BF6152"/>
    <w:rsid w:val="00BF655B"/>
    <w:rsid w:val="00BF685A"/>
    <w:rsid w:val="00BF6E2D"/>
    <w:rsid w:val="00BF750E"/>
    <w:rsid w:val="00BF756C"/>
    <w:rsid w:val="00BF77F1"/>
    <w:rsid w:val="00BF7842"/>
    <w:rsid w:val="00BF7941"/>
    <w:rsid w:val="00BF7CA1"/>
    <w:rsid w:val="00C0025B"/>
    <w:rsid w:val="00C00B12"/>
    <w:rsid w:val="00C0115F"/>
    <w:rsid w:val="00C019AA"/>
    <w:rsid w:val="00C01E46"/>
    <w:rsid w:val="00C02725"/>
    <w:rsid w:val="00C02FE5"/>
    <w:rsid w:val="00C03157"/>
    <w:rsid w:val="00C03A0C"/>
    <w:rsid w:val="00C04264"/>
    <w:rsid w:val="00C054C0"/>
    <w:rsid w:val="00C056C7"/>
    <w:rsid w:val="00C05822"/>
    <w:rsid w:val="00C0596E"/>
    <w:rsid w:val="00C05E5E"/>
    <w:rsid w:val="00C0615A"/>
    <w:rsid w:val="00C0616E"/>
    <w:rsid w:val="00C06CFA"/>
    <w:rsid w:val="00C0725C"/>
    <w:rsid w:val="00C07938"/>
    <w:rsid w:val="00C1066D"/>
    <w:rsid w:val="00C108E7"/>
    <w:rsid w:val="00C110E5"/>
    <w:rsid w:val="00C11163"/>
    <w:rsid w:val="00C11604"/>
    <w:rsid w:val="00C116E4"/>
    <w:rsid w:val="00C11A20"/>
    <w:rsid w:val="00C11A2F"/>
    <w:rsid w:val="00C11A39"/>
    <w:rsid w:val="00C12976"/>
    <w:rsid w:val="00C1306F"/>
    <w:rsid w:val="00C132B9"/>
    <w:rsid w:val="00C134D4"/>
    <w:rsid w:val="00C1406E"/>
    <w:rsid w:val="00C142F0"/>
    <w:rsid w:val="00C14887"/>
    <w:rsid w:val="00C14EB3"/>
    <w:rsid w:val="00C14F27"/>
    <w:rsid w:val="00C15081"/>
    <w:rsid w:val="00C1572D"/>
    <w:rsid w:val="00C17293"/>
    <w:rsid w:val="00C17338"/>
    <w:rsid w:val="00C17D0D"/>
    <w:rsid w:val="00C17DB9"/>
    <w:rsid w:val="00C201C7"/>
    <w:rsid w:val="00C20560"/>
    <w:rsid w:val="00C2097F"/>
    <w:rsid w:val="00C20CB7"/>
    <w:rsid w:val="00C20DB0"/>
    <w:rsid w:val="00C210B5"/>
    <w:rsid w:val="00C212EB"/>
    <w:rsid w:val="00C21AD5"/>
    <w:rsid w:val="00C21C58"/>
    <w:rsid w:val="00C21FB0"/>
    <w:rsid w:val="00C220AC"/>
    <w:rsid w:val="00C220B8"/>
    <w:rsid w:val="00C23944"/>
    <w:rsid w:val="00C23ECB"/>
    <w:rsid w:val="00C2425D"/>
    <w:rsid w:val="00C2487E"/>
    <w:rsid w:val="00C24CB0"/>
    <w:rsid w:val="00C2510E"/>
    <w:rsid w:val="00C25A5C"/>
    <w:rsid w:val="00C2609A"/>
    <w:rsid w:val="00C264E1"/>
    <w:rsid w:val="00C26795"/>
    <w:rsid w:val="00C26B76"/>
    <w:rsid w:val="00C27680"/>
    <w:rsid w:val="00C27BA8"/>
    <w:rsid w:val="00C27FEF"/>
    <w:rsid w:val="00C300ED"/>
    <w:rsid w:val="00C3064C"/>
    <w:rsid w:val="00C30F14"/>
    <w:rsid w:val="00C3111A"/>
    <w:rsid w:val="00C312E6"/>
    <w:rsid w:val="00C31552"/>
    <w:rsid w:val="00C316EB"/>
    <w:rsid w:val="00C32A4B"/>
    <w:rsid w:val="00C32B65"/>
    <w:rsid w:val="00C33063"/>
    <w:rsid w:val="00C332EE"/>
    <w:rsid w:val="00C33E58"/>
    <w:rsid w:val="00C33F3A"/>
    <w:rsid w:val="00C34D93"/>
    <w:rsid w:val="00C35D83"/>
    <w:rsid w:val="00C35DE4"/>
    <w:rsid w:val="00C3621B"/>
    <w:rsid w:val="00C3693B"/>
    <w:rsid w:val="00C36A1D"/>
    <w:rsid w:val="00C36FAC"/>
    <w:rsid w:val="00C370F8"/>
    <w:rsid w:val="00C37197"/>
    <w:rsid w:val="00C374F2"/>
    <w:rsid w:val="00C37CE2"/>
    <w:rsid w:val="00C4096E"/>
    <w:rsid w:val="00C40AD8"/>
    <w:rsid w:val="00C40B55"/>
    <w:rsid w:val="00C412A3"/>
    <w:rsid w:val="00C41302"/>
    <w:rsid w:val="00C417F2"/>
    <w:rsid w:val="00C41BD9"/>
    <w:rsid w:val="00C41E89"/>
    <w:rsid w:val="00C421C5"/>
    <w:rsid w:val="00C4249F"/>
    <w:rsid w:val="00C42798"/>
    <w:rsid w:val="00C42CC2"/>
    <w:rsid w:val="00C43295"/>
    <w:rsid w:val="00C439CB"/>
    <w:rsid w:val="00C448C7"/>
    <w:rsid w:val="00C44F9C"/>
    <w:rsid w:val="00C450CE"/>
    <w:rsid w:val="00C45704"/>
    <w:rsid w:val="00C45CCE"/>
    <w:rsid w:val="00C45FB6"/>
    <w:rsid w:val="00C461F6"/>
    <w:rsid w:val="00C50284"/>
    <w:rsid w:val="00C50308"/>
    <w:rsid w:val="00C503D6"/>
    <w:rsid w:val="00C504B0"/>
    <w:rsid w:val="00C504C1"/>
    <w:rsid w:val="00C508E0"/>
    <w:rsid w:val="00C50F05"/>
    <w:rsid w:val="00C514D4"/>
    <w:rsid w:val="00C51A37"/>
    <w:rsid w:val="00C51D0B"/>
    <w:rsid w:val="00C52283"/>
    <w:rsid w:val="00C527EC"/>
    <w:rsid w:val="00C5290E"/>
    <w:rsid w:val="00C52AFF"/>
    <w:rsid w:val="00C52B32"/>
    <w:rsid w:val="00C52B88"/>
    <w:rsid w:val="00C52E56"/>
    <w:rsid w:val="00C533F2"/>
    <w:rsid w:val="00C53B14"/>
    <w:rsid w:val="00C53C94"/>
    <w:rsid w:val="00C542D7"/>
    <w:rsid w:val="00C5477B"/>
    <w:rsid w:val="00C547E0"/>
    <w:rsid w:val="00C555A6"/>
    <w:rsid w:val="00C55959"/>
    <w:rsid w:val="00C5679C"/>
    <w:rsid w:val="00C5692C"/>
    <w:rsid w:val="00C570E1"/>
    <w:rsid w:val="00C5755B"/>
    <w:rsid w:val="00C57695"/>
    <w:rsid w:val="00C607CD"/>
    <w:rsid w:val="00C6081A"/>
    <w:rsid w:val="00C60B4F"/>
    <w:rsid w:val="00C60BA5"/>
    <w:rsid w:val="00C60F50"/>
    <w:rsid w:val="00C61B82"/>
    <w:rsid w:val="00C62443"/>
    <w:rsid w:val="00C6259D"/>
    <w:rsid w:val="00C6408C"/>
    <w:rsid w:val="00C644BD"/>
    <w:rsid w:val="00C64D3D"/>
    <w:rsid w:val="00C65071"/>
    <w:rsid w:val="00C651B9"/>
    <w:rsid w:val="00C654AB"/>
    <w:rsid w:val="00C65612"/>
    <w:rsid w:val="00C65E6E"/>
    <w:rsid w:val="00C65FAC"/>
    <w:rsid w:val="00C66838"/>
    <w:rsid w:val="00C66E7A"/>
    <w:rsid w:val="00C67557"/>
    <w:rsid w:val="00C6785F"/>
    <w:rsid w:val="00C70673"/>
    <w:rsid w:val="00C713AC"/>
    <w:rsid w:val="00C717F1"/>
    <w:rsid w:val="00C7197E"/>
    <w:rsid w:val="00C71D35"/>
    <w:rsid w:val="00C729B5"/>
    <w:rsid w:val="00C72B65"/>
    <w:rsid w:val="00C73907"/>
    <w:rsid w:val="00C73E80"/>
    <w:rsid w:val="00C74BB2"/>
    <w:rsid w:val="00C74C87"/>
    <w:rsid w:val="00C74E5A"/>
    <w:rsid w:val="00C74FA1"/>
    <w:rsid w:val="00C757F9"/>
    <w:rsid w:val="00C76048"/>
    <w:rsid w:val="00C760C6"/>
    <w:rsid w:val="00C76D08"/>
    <w:rsid w:val="00C76DB3"/>
    <w:rsid w:val="00C779D1"/>
    <w:rsid w:val="00C77BC8"/>
    <w:rsid w:val="00C77C6B"/>
    <w:rsid w:val="00C8026C"/>
    <w:rsid w:val="00C807DA"/>
    <w:rsid w:val="00C81022"/>
    <w:rsid w:val="00C81116"/>
    <w:rsid w:val="00C81219"/>
    <w:rsid w:val="00C81B47"/>
    <w:rsid w:val="00C82059"/>
    <w:rsid w:val="00C82514"/>
    <w:rsid w:val="00C82B69"/>
    <w:rsid w:val="00C8349C"/>
    <w:rsid w:val="00C83B9B"/>
    <w:rsid w:val="00C83D84"/>
    <w:rsid w:val="00C83F86"/>
    <w:rsid w:val="00C8437A"/>
    <w:rsid w:val="00C85AD0"/>
    <w:rsid w:val="00C867E0"/>
    <w:rsid w:val="00C8785D"/>
    <w:rsid w:val="00C87AEF"/>
    <w:rsid w:val="00C9003A"/>
    <w:rsid w:val="00C90255"/>
    <w:rsid w:val="00C90FAE"/>
    <w:rsid w:val="00C912BC"/>
    <w:rsid w:val="00C918AB"/>
    <w:rsid w:val="00C9205B"/>
    <w:rsid w:val="00C92097"/>
    <w:rsid w:val="00C921B5"/>
    <w:rsid w:val="00C927AC"/>
    <w:rsid w:val="00C927C0"/>
    <w:rsid w:val="00C928CD"/>
    <w:rsid w:val="00C92E1B"/>
    <w:rsid w:val="00C92EBD"/>
    <w:rsid w:val="00C932D9"/>
    <w:rsid w:val="00C93358"/>
    <w:rsid w:val="00C944AA"/>
    <w:rsid w:val="00C94759"/>
    <w:rsid w:val="00C9582C"/>
    <w:rsid w:val="00C9629F"/>
    <w:rsid w:val="00C9636F"/>
    <w:rsid w:val="00C9645F"/>
    <w:rsid w:val="00C96B27"/>
    <w:rsid w:val="00C96B36"/>
    <w:rsid w:val="00C97050"/>
    <w:rsid w:val="00C97344"/>
    <w:rsid w:val="00C97904"/>
    <w:rsid w:val="00CA0406"/>
    <w:rsid w:val="00CA086C"/>
    <w:rsid w:val="00CA0D0B"/>
    <w:rsid w:val="00CA0E1A"/>
    <w:rsid w:val="00CA1549"/>
    <w:rsid w:val="00CA1CEC"/>
    <w:rsid w:val="00CA35C5"/>
    <w:rsid w:val="00CA420D"/>
    <w:rsid w:val="00CA43C9"/>
    <w:rsid w:val="00CA4FD9"/>
    <w:rsid w:val="00CA516B"/>
    <w:rsid w:val="00CA5243"/>
    <w:rsid w:val="00CA5304"/>
    <w:rsid w:val="00CA5B4A"/>
    <w:rsid w:val="00CA5E55"/>
    <w:rsid w:val="00CA63DA"/>
    <w:rsid w:val="00CA6C55"/>
    <w:rsid w:val="00CA6F6F"/>
    <w:rsid w:val="00CA7018"/>
    <w:rsid w:val="00CA7227"/>
    <w:rsid w:val="00CA7A2E"/>
    <w:rsid w:val="00CA7B0B"/>
    <w:rsid w:val="00CA7B34"/>
    <w:rsid w:val="00CA7E08"/>
    <w:rsid w:val="00CB0825"/>
    <w:rsid w:val="00CB11FA"/>
    <w:rsid w:val="00CB19A9"/>
    <w:rsid w:val="00CB19E4"/>
    <w:rsid w:val="00CB1A50"/>
    <w:rsid w:val="00CB2B23"/>
    <w:rsid w:val="00CB2CA3"/>
    <w:rsid w:val="00CB37CD"/>
    <w:rsid w:val="00CB37E5"/>
    <w:rsid w:val="00CB3A7E"/>
    <w:rsid w:val="00CB4B94"/>
    <w:rsid w:val="00CB4D1B"/>
    <w:rsid w:val="00CB4E23"/>
    <w:rsid w:val="00CB4E62"/>
    <w:rsid w:val="00CB50A0"/>
    <w:rsid w:val="00CB542D"/>
    <w:rsid w:val="00CB55BE"/>
    <w:rsid w:val="00CB5716"/>
    <w:rsid w:val="00CB582C"/>
    <w:rsid w:val="00CB5C2A"/>
    <w:rsid w:val="00CB60CB"/>
    <w:rsid w:val="00CB6C60"/>
    <w:rsid w:val="00CB6EBB"/>
    <w:rsid w:val="00CB717A"/>
    <w:rsid w:val="00CB722A"/>
    <w:rsid w:val="00CB7D36"/>
    <w:rsid w:val="00CC0196"/>
    <w:rsid w:val="00CC036D"/>
    <w:rsid w:val="00CC08A6"/>
    <w:rsid w:val="00CC08F3"/>
    <w:rsid w:val="00CC149A"/>
    <w:rsid w:val="00CC18C6"/>
    <w:rsid w:val="00CC1C83"/>
    <w:rsid w:val="00CC1D9F"/>
    <w:rsid w:val="00CC1DEE"/>
    <w:rsid w:val="00CC1EFC"/>
    <w:rsid w:val="00CC23EF"/>
    <w:rsid w:val="00CC2723"/>
    <w:rsid w:val="00CC2D5E"/>
    <w:rsid w:val="00CC303A"/>
    <w:rsid w:val="00CC3058"/>
    <w:rsid w:val="00CC3B3E"/>
    <w:rsid w:val="00CC3CDF"/>
    <w:rsid w:val="00CC3EA1"/>
    <w:rsid w:val="00CC430D"/>
    <w:rsid w:val="00CC47B2"/>
    <w:rsid w:val="00CC4834"/>
    <w:rsid w:val="00CC4874"/>
    <w:rsid w:val="00CC4CB3"/>
    <w:rsid w:val="00CC4E78"/>
    <w:rsid w:val="00CC5564"/>
    <w:rsid w:val="00CC59B9"/>
    <w:rsid w:val="00CC6BD2"/>
    <w:rsid w:val="00CC74B3"/>
    <w:rsid w:val="00CC7952"/>
    <w:rsid w:val="00CC79C2"/>
    <w:rsid w:val="00CC79D5"/>
    <w:rsid w:val="00CC7CF8"/>
    <w:rsid w:val="00CC7E9E"/>
    <w:rsid w:val="00CD0753"/>
    <w:rsid w:val="00CD0D04"/>
    <w:rsid w:val="00CD125E"/>
    <w:rsid w:val="00CD18B5"/>
    <w:rsid w:val="00CD2E33"/>
    <w:rsid w:val="00CD35C3"/>
    <w:rsid w:val="00CD389D"/>
    <w:rsid w:val="00CD39F7"/>
    <w:rsid w:val="00CD3B6A"/>
    <w:rsid w:val="00CD4CB2"/>
    <w:rsid w:val="00CD56E5"/>
    <w:rsid w:val="00CD633D"/>
    <w:rsid w:val="00CD721D"/>
    <w:rsid w:val="00CD7AC4"/>
    <w:rsid w:val="00CD7C7B"/>
    <w:rsid w:val="00CD7E93"/>
    <w:rsid w:val="00CE0024"/>
    <w:rsid w:val="00CE06DB"/>
    <w:rsid w:val="00CE0B20"/>
    <w:rsid w:val="00CE0F1F"/>
    <w:rsid w:val="00CE1287"/>
    <w:rsid w:val="00CE2763"/>
    <w:rsid w:val="00CE2D15"/>
    <w:rsid w:val="00CE385D"/>
    <w:rsid w:val="00CE385E"/>
    <w:rsid w:val="00CE38F9"/>
    <w:rsid w:val="00CE3D2C"/>
    <w:rsid w:val="00CE3F30"/>
    <w:rsid w:val="00CE474E"/>
    <w:rsid w:val="00CE4762"/>
    <w:rsid w:val="00CE4D63"/>
    <w:rsid w:val="00CE555F"/>
    <w:rsid w:val="00CE5774"/>
    <w:rsid w:val="00CE5D18"/>
    <w:rsid w:val="00CE6366"/>
    <w:rsid w:val="00CE69FB"/>
    <w:rsid w:val="00CE6E3E"/>
    <w:rsid w:val="00CE6F9D"/>
    <w:rsid w:val="00CE7C72"/>
    <w:rsid w:val="00CF0BFD"/>
    <w:rsid w:val="00CF0CFA"/>
    <w:rsid w:val="00CF1DDB"/>
    <w:rsid w:val="00CF37F6"/>
    <w:rsid w:val="00CF3A80"/>
    <w:rsid w:val="00CF3B2C"/>
    <w:rsid w:val="00CF3BFE"/>
    <w:rsid w:val="00CF46ED"/>
    <w:rsid w:val="00CF4FE5"/>
    <w:rsid w:val="00CF5458"/>
    <w:rsid w:val="00CF57E9"/>
    <w:rsid w:val="00CF642C"/>
    <w:rsid w:val="00CF6A4E"/>
    <w:rsid w:val="00CF6B6B"/>
    <w:rsid w:val="00CF7B1B"/>
    <w:rsid w:val="00D00A39"/>
    <w:rsid w:val="00D010B6"/>
    <w:rsid w:val="00D010C0"/>
    <w:rsid w:val="00D010D3"/>
    <w:rsid w:val="00D01CC0"/>
    <w:rsid w:val="00D01D89"/>
    <w:rsid w:val="00D022BE"/>
    <w:rsid w:val="00D02828"/>
    <w:rsid w:val="00D02A41"/>
    <w:rsid w:val="00D03A5A"/>
    <w:rsid w:val="00D042BF"/>
    <w:rsid w:val="00D044B7"/>
    <w:rsid w:val="00D04580"/>
    <w:rsid w:val="00D047F6"/>
    <w:rsid w:val="00D04E2F"/>
    <w:rsid w:val="00D05423"/>
    <w:rsid w:val="00D05C9E"/>
    <w:rsid w:val="00D06143"/>
    <w:rsid w:val="00D06336"/>
    <w:rsid w:val="00D06515"/>
    <w:rsid w:val="00D06CAE"/>
    <w:rsid w:val="00D074A4"/>
    <w:rsid w:val="00D100AB"/>
    <w:rsid w:val="00D1017C"/>
    <w:rsid w:val="00D102FA"/>
    <w:rsid w:val="00D104BC"/>
    <w:rsid w:val="00D1090D"/>
    <w:rsid w:val="00D119F0"/>
    <w:rsid w:val="00D1250C"/>
    <w:rsid w:val="00D1269C"/>
    <w:rsid w:val="00D12984"/>
    <w:rsid w:val="00D12CF7"/>
    <w:rsid w:val="00D13D34"/>
    <w:rsid w:val="00D1419E"/>
    <w:rsid w:val="00D145D8"/>
    <w:rsid w:val="00D15143"/>
    <w:rsid w:val="00D15F73"/>
    <w:rsid w:val="00D16471"/>
    <w:rsid w:val="00D1657D"/>
    <w:rsid w:val="00D1677A"/>
    <w:rsid w:val="00D16783"/>
    <w:rsid w:val="00D168F9"/>
    <w:rsid w:val="00D16DFD"/>
    <w:rsid w:val="00D178EE"/>
    <w:rsid w:val="00D20346"/>
    <w:rsid w:val="00D20A0D"/>
    <w:rsid w:val="00D20CFF"/>
    <w:rsid w:val="00D213C4"/>
    <w:rsid w:val="00D21B70"/>
    <w:rsid w:val="00D21D46"/>
    <w:rsid w:val="00D221D6"/>
    <w:rsid w:val="00D229D3"/>
    <w:rsid w:val="00D22D61"/>
    <w:rsid w:val="00D23693"/>
    <w:rsid w:val="00D23AB9"/>
    <w:rsid w:val="00D24248"/>
    <w:rsid w:val="00D247A7"/>
    <w:rsid w:val="00D24F5F"/>
    <w:rsid w:val="00D24F79"/>
    <w:rsid w:val="00D25BE8"/>
    <w:rsid w:val="00D25CDD"/>
    <w:rsid w:val="00D26C2F"/>
    <w:rsid w:val="00D27C8F"/>
    <w:rsid w:val="00D3074A"/>
    <w:rsid w:val="00D308A0"/>
    <w:rsid w:val="00D30CB4"/>
    <w:rsid w:val="00D30D01"/>
    <w:rsid w:val="00D31309"/>
    <w:rsid w:val="00D32292"/>
    <w:rsid w:val="00D32F90"/>
    <w:rsid w:val="00D330EE"/>
    <w:rsid w:val="00D33223"/>
    <w:rsid w:val="00D3361A"/>
    <w:rsid w:val="00D3361F"/>
    <w:rsid w:val="00D33957"/>
    <w:rsid w:val="00D3408E"/>
    <w:rsid w:val="00D3439B"/>
    <w:rsid w:val="00D3465A"/>
    <w:rsid w:val="00D3475E"/>
    <w:rsid w:val="00D3478B"/>
    <w:rsid w:val="00D3481E"/>
    <w:rsid w:val="00D349F3"/>
    <w:rsid w:val="00D34C71"/>
    <w:rsid w:val="00D34DFD"/>
    <w:rsid w:val="00D34E2F"/>
    <w:rsid w:val="00D350D8"/>
    <w:rsid w:val="00D354D5"/>
    <w:rsid w:val="00D35D7E"/>
    <w:rsid w:val="00D35DE7"/>
    <w:rsid w:val="00D3601D"/>
    <w:rsid w:val="00D366BA"/>
    <w:rsid w:val="00D36997"/>
    <w:rsid w:val="00D36D58"/>
    <w:rsid w:val="00D3703F"/>
    <w:rsid w:val="00D3712B"/>
    <w:rsid w:val="00D37432"/>
    <w:rsid w:val="00D37B68"/>
    <w:rsid w:val="00D403DA"/>
    <w:rsid w:val="00D40522"/>
    <w:rsid w:val="00D4075F"/>
    <w:rsid w:val="00D41393"/>
    <w:rsid w:val="00D4248C"/>
    <w:rsid w:val="00D42607"/>
    <w:rsid w:val="00D431DC"/>
    <w:rsid w:val="00D43809"/>
    <w:rsid w:val="00D44F3F"/>
    <w:rsid w:val="00D450BF"/>
    <w:rsid w:val="00D4514A"/>
    <w:rsid w:val="00D4579D"/>
    <w:rsid w:val="00D46025"/>
    <w:rsid w:val="00D46097"/>
    <w:rsid w:val="00D46702"/>
    <w:rsid w:val="00D46E53"/>
    <w:rsid w:val="00D46E8A"/>
    <w:rsid w:val="00D47222"/>
    <w:rsid w:val="00D47AB0"/>
    <w:rsid w:val="00D47C4A"/>
    <w:rsid w:val="00D502E1"/>
    <w:rsid w:val="00D504B8"/>
    <w:rsid w:val="00D518DE"/>
    <w:rsid w:val="00D51B9F"/>
    <w:rsid w:val="00D5277C"/>
    <w:rsid w:val="00D52A9A"/>
    <w:rsid w:val="00D52B87"/>
    <w:rsid w:val="00D52CDF"/>
    <w:rsid w:val="00D52D9F"/>
    <w:rsid w:val="00D533C0"/>
    <w:rsid w:val="00D547F0"/>
    <w:rsid w:val="00D54BE7"/>
    <w:rsid w:val="00D5524D"/>
    <w:rsid w:val="00D553F5"/>
    <w:rsid w:val="00D55608"/>
    <w:rsid w:val="00D5574A"/>
    <w:rsid w:val="00D55A25"/>
    <w:rsid w:val="00D55A5F"/>
    <w:rsid w:val="00D55C31"/>
    <w:rsid w:val="00D55D74"/>
    <w:rsid w:val="00D56194"/>
    <w:rsid w:val="00D5662F"/>
    <w:rsid w:val="00D568CF"/>
    <w:rsid w:val="00D56AA6"/>
    <w:rsid w:val="00D56C4A"/>
    <w:rsid w:val="00D56CBA"/>
    <w:rsid w:val="00D5777F"/>
    <w:rsid w:val="00D57B25"/>
    <w:rsid w:val="00D57E66"/>
    <w:rsid w:val="00D60873"/>
    <w:rsid w:val="00D6113F"/>
    <w:rsid w:val="00D6143A"/>
    <w:rsid w:val="00D61A18"/>
    <w:rsid w:val="00D62356"/>
    <w:rsid w:val="00D629FE"/>
    <w:rsid w:val="00D63C70"/>
    <w:rsid w:val="00D64F5E"/>
    <w:rsid w:val="00D650B4"/>
    <w:rsid w:val="00D655C1"/>
    <w:rsid w:val="00D659EF"/>
    <w:rsid w:val="00D674DD"/>
    <w:rsid w:val="00D676FB"/>
    <w:rsid w:val="00D679B7"/>
    <w:rsid w:val="00D67B83"/>
    <w:rsid w:val="00D67CF4"/>
    <w:rsid w:val="00D7059F"/>
    <w:rsid w:val="00D70664"/>
    <w:rsid w:val="00D70A55"/>
    <w:rsid w:val="00D70C11"/>
    <w:rsid w:val="00D712F6"/>
    <w:rsid w:val="00D71AC2"/>
    <w:rsid w:val="00D71BE3"/>
    <w:rsid w:val="00D72184"/>
    <w:rsid w:val="00D72583"/>
    <w:rsid w:val="00D727E2"/>
    <w:rsid w:val="00D72D57"/>
    <w:rsid w:val="00D74696"/>
    <w:rsid w:val="00D74837"/>
    <w:rsid w:val="00D74CCF"/>
    <w:rsid w:val="00D74F72"/>
    <w:rsid w:val="00D75026"/>
    <w:rsid w:val="00D759B8"/>
    <w:rsid w:val="00D75C23"/>
    <w:rsid w:val="00D764A8"/>
    <w:rsid w:val="00D7692C"/>
    <w:rsid w:val="00D76B0F"/>
    <w:rsid w:val="00D76B88"/>
    <w:rsid w:val="00D80064"/>
    <w:rsid w:val="00D803B6"/>
    <w:rsid w:val="00D806A5"/>
    <w:rsid w:val="00D806C4"/>
    <w:rsid w:val="00D80712"/>
    <w:rsid w:val="00D80803"/>
    <w:rsid w:val="00D808D5"/>
    <w:rsid w:val="00D80950"/>
    <w:rsid w:val="00D809A7"/>
    <w:rsid w:val="00D80F77"/>
    <w:rsid w:val="00D8235C"/>
    <w:rsid w:val="00D82965"/>
    <w:rsid w:val="00D83396"/>
    <w:rsid w:val="00D834CB"/>
    <w:rsid w:val="00D83C55"/>
    <w:rsid w:val="00D842CB"/>
    <w:rsid w:val="00D85BC7"/>
    <w:rsid w:val="00D85D98"/>
    <w:rsid w:val="00D85DC7"/>
    <w:rsid w:val="00D85F91"/>
    <w:rsid w:val="00D85FD5"/>
    <w:rsid w:val="00D86900"/>
    <w:rsid w:val="00D869A1"/>
    <w:rsid w:val="00D86C5F"/>
    <w:rsid w:val="00D86E7A"/>
    <w:rsid w:val="00D873DF"/>
    <w:rsid w:val="00D87598"/>
    <w:rsid w:val="00D87729"/>
    <w:rsid w:val="00D87839"/>
    <w:rsid w:val="00D879C8"/>
    <w:rsid w:val="00D87A8C"/>
    <w:rsid w:val="00D87AF8"/>
    <w:rsid w:val="00D87B32"/>
    <w:rsid w:val="00D90156"/>
    <w:rsid w:val="00D904A0"/>
    <w:rsid w:val="00D90606"/>
    <w:rsid w:val="00D90750"/>
    <w:rsid w:val="00D90793"/>
    <w:rsid w:val="00D908FA"/>
    <w:rsid w:val="00D90D3B"/>
    <w:rsid w:val="00D91AD4"/>
    <w:rsid w:val="00D91DA4"/>
    <w:rsid w:val="00D9241D"/>
    <w:rsid w:val="00D9291E"/>
    <w:rsid w:val="00D92A7C"/>
    <w:rsid w:val="00D92D39"/>
    <w:rsid w:val="00D93300"/>
    <w:rsid w:val="00D93544"/>
    <w:rsid w:val="00D938D7"/>
    <w:rsid w:val="00D93DEA"/>
    <w:rsid w:val="00D94508"/>
    <w:rsid w:val="00D94E99"/>
    <w:rsid w:val="00D954A5"/>
    <w:rsid w:val="00D95956"/>
    <w:rsid w:val="00D959BE"/>
    <w:rsid w:val="00D95E64"/>
    <w:rsid w:val="00D96139"/>
    <w:rsid w:val="00D962C3"/>
    <w:rsid w:val="00D963D3"/>
    <w:rsid w:val="00D97130"/>
    <w:rsid w:val="00D971B8"/>
    <w:rsid w:val="00D973FC"/>
    <w:rsid w:val="00D9747F"/>
    <w:rsid w:val="00DA0437"/>
    <w:rsid w:val="00DA0A9C"/>
    <w:rsid w:val="00DA184A"/>
    <w:rsid w:val="00DA1879"/>
    <w:rsid w:val="00DA1FCA"/>
    <w:rsid w:val="00DA2026"/>
    <w:rsid w:val="00DA222E"/>
    <w:rsid w:val="00DA29A7"/>
    <w:rsid w:val="00DA31BF"/>
    <w:rsid w:val="00DA31FA"/>
    <w:rsid w:val="00DA37EE"/>
    <w:rsid w:val="00DA3C9D"/>
    <w:rsid w:val="00DA3EA0"/>
    <w:rsid w:val="00DA425D"/>
    <w:rsid w:val="00DA5543"/>
    <w:rsid w:val="00DA55B4"/>
    <w:rsid w:val="00DA561B"/>
    <w:rsid w:val="00DA5BA9"/>
    <w:rsid w:val="00DA5F01"/>
    <w:rsid w:val="00DA5F2E"/>
    <w:rsid w:val="00DA6111"/>
    <w:rsid w:val="00DA74A4"/>
    <w:rsid w:val="00DA7514"/>
    <w:rsid w:val="00DA77E0"/>
    <w:rsid w:val="00DB0171"/>
    <w:rsid w:val="00DB036F"/>
    <w:rsid w:val="00DB052F"/>
    <w:rsid w:val="00DB10FA"/>
    <w:rsid w:val="00DB1A9A"/>
    <w:rsid w:val="00DB1A9B"/>
    <w:rsid w:val="00DB2042"/>
    <w:rsid w:val="00DB2F02"/>
    <w:rsid w:val="00DB34D6"/>
    <w:rsid w:val="00DB35A8"/>
    <w:rsid w:val="00DB3683"/>
    <w:rsid w:val="00DB39F1"/>
    <w:rsid w:val="00DB3F01"/>
    <w:rsid w:val="00DB3FE5"/>
    <w:rsid w:val="00DB4237"/>
    <w:rsid w:val="00DB454D"/>
    <w:rsid w:val="00DB474C"/>
    <w:rsid w:val="00DB58DC"/>
    <w:rsid w:val="00DB6411"/>
    <w:rsid w:val="00DB6956"/>
    <w:rsid w:val="00DB6A29"/>
    <w:rsid w:val="00DB6E75"/>
    <w:rsid w:val="00DB6EBD"/>
    <w:rsid w:val="00DB78E3"/>
    <w:rsid w:val="00DB7F44"/>
    <w:rsid w:val="00DC01C2"/>
    <w:rsid w:val="00DC0672"/>
    <w:rsid w:val="00DC0841"/>
    <w:rsid w:val="00DC0A65"/>
    <w:rsid w:val="00DC0B6A"/>
    <w:rsid w:val="00DC0D8F"/>
    <w:rsid w:val="00DC11ED"/>
    <w:rsid w:val="00DC175B"/>
    <w:rsid w:val="00DC48EB"/>
    <w:rsid w:val="00DC4D4D"/>
    <w:rsid w:val="00DC5028"/>
    <w:rsid w:val="00DC5290"/>
    <w:rsid w:val="00DC5509"/>
    <w:rsid w:val="00DC586D"/>
    <w:rsid w:val="00DC6618"/>
    <w:rsid w:val="00DC6BB5"/>
    <w:rsid w:val="00DC7356"/>
    <w:rsid w:val="00DC75F4"/>
    <w:rsid w:val="00DC77CA"/>
    <w:rsid w:val="00DC7ABA"/>
    <w:rsid w:val="00DD0BFF"/>
    <w:rsid w:val="00DD1044"/>
    <w:rsid w:val="00DD1510"/>
    <w:rsid w:val="00DD1826"/>
    <w:rsid w:val="00DD189C"/>
    <w:rsid w:val="00DD2064"/>
    <w:rsid w:val="00DD277F"/>
    <w:rsid w:val="00DD2876"/>
    <w:rsid w:val="00DD2C20"/>
    <w:rsid w:val="00DD2F1D"/>
    <w:rsid w:val="00DD31A7"/>
    <w:rsid w:val="00DD35A7"/>
    <w:rsid w:val="00DD3735"/>
    <w:rsid w:val="00DD4566"/>
    <w:rsid w:val="00DD4862"/>
    <w:rsid w:val="00DD49D4"/>
    <w:rsid w:val="00DD50B4"/>
    <w:rsid w:val="00DD57BC"/>
    <w:rsid w:val="00DD59E8"/>
    <w:rsid w:val="00DD5F8D"/>
    <w:rsid w:val="00DD6932"/>
    <w:rsid w:val="00DD7091"/>
    <w:rsid w:val="00DD77C2"/>
    <w:rsid w:val="00DD7AE2"/>
    <w:rsid w:val="00DD7D42"/>
    <w:rsid w:val="00DD7DF8"/>
    <w:rsid w:val="00DD7E31"/>
    <w:rsid w:val="00DE013E"/>
    <w:rsid w:val="00DE06F1"/>
    <w:rsid w:val="00DE40DA"/>
    <w:rsid w:val="00DE4574"/>
    <w:rsid w:val="00DE49C4"/>
    <w:rsid w:val="00DE52B1"/>
    <w:rsid w:val="00DE5510"/>
    <w:rsid w:val="00DE5EAB"/>
    <w:rsid w:val="00DE69EF"/>
    <w:rsid w:val="00DE6C6F"/>
    <w:rsid w:val="00DE6D16"/>
    <w:rsid w:val="00DE6E35"/>
    <w:rsid w:val="00DE77CB"/>
    <w:rsid w:val="00DF0984"/>
    <w:rsid w:val="00DF1834"/>
    <w:rsid w:val="00DF1E3E"/>
    <w:rsid w:val="00DF2370"/>
    <w:rsid w:val="00DF28BA"/>
    <w:rsid w:val="00DF2EDE"/>
    <w:rsid w:val="00DF2F8F"/>
    <w:rsid w:val="00DF392E"/>
    <w:rsid w:val="00DF4641"/>
    <w:rsid w:val="00DF4B3F"/>
    <w:rsid w:val="00DF4FE4"/>
    <w:rsid w:val="00DF5B9C"/>
    <w:rsid w:val="00DF650A"/>
    <w:rsid w:val="00DF68D6"/>
    <w:rsid w:val="00DF6A15"/>
    <w:rsid w:val="00DF6F07"/>
    <w:rsid w:val="00DF7043"/>
    <w:rsid w:val="00DF71FB"/>
    <w:rsid w:val="00DF72A7"/>
    <w:rsid w:val="00E00D33"/>
    <w:rsid w:val="00E01520"/>
    <w:rsid w:val="00E0159F"/>
    <w:rsid w:val="00E01E35"/>
    <w:rsid w:val="00E01E6D"/>
    <w:rsid w:val="00E01F6C"/>
    <w:rsid w:val="00E020C4"/>
    <w:rsid w:val="00E024ED"/>
    <w:rsid w:val="00E03CAE"/>
    <w:rsid w:val="00E03D65"/>
    <w:rsid w:val="00E045B2"/>
    <w:rsid w:val="00E0463B"/>
    <w:rsid w:val="00E0496A"/>
    <w:rsid w:val="00E04A98"/>
    <w:rsid w:val="00E0564A"/>
    <w:rsid w:val="00E0571F"/>
    <w:rsid w:val="00E05D0F"/>
    <w:rsid w:val="00E0668B"/>
    <w:rsid w:val="00E06DCE"/>
    <w:rsid w:val="00E06FFF"/>
    <w:rsid w:val="00E07511"/>
    <w:rsid w:val="00E077B7"/>
    <w:rsid w:val="00E07A0E"/>
    <w:rsid w:val="00E07B38"/>
    <w:rsid w:val="00E07C23"/>
    <w:rsid w:val="00E109A4"/>
    <w:rsid w:val="00E112A4"/>
    <w:rsid w:val="00E11541"/>
    <w:rsid w:val="00E118FD"/>
    <w:rsid w:val="00E11935"/>
    <w:rsid w:val="00E11CC5"/>
    <w:rsid w:val="00E12BA6"/>
    <w:rsid w:val="00E13CBC"/>
    <w:rsid w:val="00E13D55"/>
    <w:rsid w:val="00E13E64"/>
    <w:rsid w:val="00E144E2"/>
    <w:rsid w:val="00E14A4B"/>
    <w:rsid w:val="00E14CED"/>
    <w:rsid w:val="00E150A6"/>
    <w:rsid w:val="00E154CC"/>
    <w:rsid w:val="00E16038"/>
    <w:rsid w:val="00E16167"/>
    <w:rsid w:val="00E16842"/>
    <w:rsid w:val="00E170A9"/>
    <w:rsid w:val="00E1737B"/>
    <w:rsid w:val="00E1755B"/>
    <w:rsid w:val="00E17B19"/>
    <w:rsid w:val="00E2007C"/>
    <w:rsid w:val="00E20AE0"/>
    <w:rsid w:val="00E20AFB"/>
    <w:rsid w:val="00E21132"/>
    <w:rsid w:val="00E21541"/>
    <w:rsid w:val="00E22910"/>
    <w:rsid w:val="00E23786"/>
    <w:rsid w:val="00E23937"/>
    <w:rsid w:val="00E23DA1"/>
    <w:rsid w:val="00E249BB"/>
    <w:rsid w:val="00E26309"/>
    <w:rsid w:val="00E2653C"/>
    <w:rsid w:val="00E265AA"/>
    <w:rsid w:val="00E26FEF"/>
    <w:rsid w:val="00E272F2"/>
    <w:rsid w:val="00E274E2"/>
    <w:rsid w:val="00E27B74"/>
    <w:rsid w:val="00E27D13"/>
    <w:rsid w:val="00E27FD5"/>
    <w:rsid w:val="00E30C89"/>
    <w:rsid w:val="00E3137D"/>
    <w:rsid w:val="00E31E46"/>
    <w:rsid w:val="00E3224C"/>
    <w:rsid w:val="00E32778"/>
    <w:rsid w:val="00E32B08"/>
    <w:rsid w:val="00E32ED6"/>
    <w:rsid w:val="00E33ABA"/>
    <w:rsid w:val="00E33D61"/>
    <w:rsid w:val="00E34C24"/>
    <w:rsid w:val="00E34CBD"/>
    <w:rsid w:val="00E353B5"/>
    <w:rsid w:val="00E35DB1"/>
    <w:rsid w:val="00E3663E"/>
    <w:rsid w:val="00E369AC"/>
    <w:rsid w:val="00E36AC0"/>
    <w:rsid w:val="00E37493"/>
    <w:rsid w:val="00E37557"/>
    <w:rsid w:val="00E37A78"/>
    <w:rsid w:val="00E37EB4"/>
    <w:rsid w:val="00E401C0"/>
    <w:rsid w:val="00E40228"/>
    <w:rsid w:val="00E402A4"/>
    <w:rsid w:val="00E40D9D"/>
    <w:rsid w:val="00E4168D"/>
    <w:rsid w:val="00E4179D"/>
    <w:rsid w:val="00E42704"/>
    <w:rsid w:val="00E42C1A"/>
    <w:rsid w:val="00E4368D"/>
    <w:rsid w:val="00E43B86"/>
    <w:rsid w:val="00E43EA7"/>
    <w:rsid w:val="00E43EA9"/>
    <w:rsid w:val="00E44723"/>
    <w:rsid w:val="00E44F8F"/>
    <w:rsid w:val="00E45114"/>
    <w:rsid w:val="00E459C6"/>
    <w:rsid w:val="00E459F6"/>
    <w:rsid w:val="00E45E31"/>
    <w:rsid w:val="00E460BD"/>
    <w:rsid w:val="00E467D2"/>
    <w:rsid w:val="00E468A2"/>
    <w:rsid w:val="00E4756A"/>
    <w:rsid w:val="00E4785C"/>
    <w:rsid w:val="00E47D78"/>
    <w:rsid w:val="00E47F13"/>
    <w:rsid w:val="00E50352"/>
    <w:rsid w:val="00E50435"/>
    <w:rsid w:val="00E5063B"/>
    <w:rsid w:val="00E50957"/>
    <w:rsid w:val="00E51132"/>
    <w:rsid w:val="00E51405"/>
    <w:rsid w:val="00E51BA2"/>
    <w:rsid w:val="00E51E2B"/>
    <w:rsid w:val="00E52557"/>
    <w:rsid w:val="00E52A39"/>
    <w:rsid w:val="00E52BF8"/>
    <w:rsid w:val="00E52E6E"/>
    <w:rsid w:val="00E5349E"/>
    <w:rsid w:val="00E53535"/>
    <w:rsid w:val="00E548D8"/>
    <w:rsid w:val="00E54F54"/>
    <w:rsid w:val="00E5552F"/>
    <w:rsid w:val="00E558CA"/>
    <w:rsid w:val="00E55E8D"/>
    <w:rsid w:val="00E56189"/>
    <w:rsid w:val="00E56A95"/>
    <w:rsid w:val="00E56B89"/>
    <w:rsid w:val="00E574E0"/>
    <w:rsid w:val="00E57C20"/>
    <w:rsid w:val="00E57CDD"/>
    <w:rsid w:val="00E57D9F"/>
    <w:rsid w:val="00E57E21"/>
    <w:rsid w:val="00E57FB5"/>
    <w:rsid w:val="00E57FD5"/>
    <w:rsid w:val="00E61790"/>
    <w:rsid w:val="00E61A2D"/>
    <w:rsid w:val="00E61AC6"/>
    <w:rsid w:val="00E61B6C"/>
    <w:rsid w:val="00E61C1F"/>
    <w:rsid w:val="00E61CDD"/>
    <w:rsid w:val="00E6293E"/>
    <w:rsid w:val="00E63816"/>
    <w:rsid w:val="00E63D0E"/>
    <w:rsid w:val="00E63F2F"/>
    <w:rsid w:val="00E6430C"/>
    <w:rsid w:val="00E64B28"/>
    <w:rsid w:val="00E65A6A"/>
    <w:rsid w:val="00E65BD7"/>
    <w:rsid w:val="00E6663F"/>
    <w:rsid w:val="00E6672E"/>
    <w:rsid w:val="00E66941"/>
    <w:rsid w:val="00E66BF4"/>
    <w:rsid w:val="00E67597"/>
    <w:rsid w:val="00E67E73"/>
    <w:rsid w:val="00E70469"/>
    <w:rsid w:val="00E70600"/>
    <w:rsid w:val="00E715F8"/>
    <w:rsid w:val="00E71C09"/>
    <w:rsid w:val="00E725AC"/>
    <w:rsid w:val="00E72725"/>
    <w:rsid w:val="00E72A48"/>
    <w:rsid w:val="00E7407C"/>
    <w:rsid w:val="00E741EC"/>
    <w:rsid w:val="00E746DF"/>
    <w:rsid w:val="00E74A03"/>
    <w:rsid w:val="00E751D3"/>
    <w:rsid w:val="00E7557E"/>
    <w:rsid w:val="00E75B8C"/>
    <w:rsid w:val="00E7692D"/>
    <w:rsid w:val="00E76A1B"/>
    <w:rsid w:val="00E76CF0"/>
    <w:rsid w:val="00E76D8F"/>
    <w:rsid w:val="00E77A45"/>
    <w:rsid w:val="00E77D73"/>
    <w:rsid w:val="00E77D8C"/>
    <w:rsid w:val="00E8071B"/>
    <w:rsid w:val="00E8092F"/>
    <w:rsid w:val="00E81A2D"/>
    <w:rsid w:val="00E81C77"/>
    <w:rsid w:val="00E8209B"/>
    <w:rsid w:val="00E8274E"/>
    <w:rsid w:val="00E829A3"/>
    <w:rsid w:val="00E82D14"/>
    <w:rsid w:val="00E83EE3"/>
    <w:rsid w:val="00E84302"/>
    <w:rsid w:val="00E85231"/>
    <w:rsid w:val="00E854B6"/>
    <w:rsid w:val="00E8592C"/>
    <w:rsid w:val="00E85B7E"/>
    <w:rsid w:val="00E85F8C"/>
    <w:rsid w:val="00E86207"/>
    <w:rsid w:val="00E864E9"/>
    <w:rsid w:val="00E868DF"/>
    <w:rsid w:val="00E86BA1"/>
    <w:rsid w:val="00E86D08"/>
    <w:rsid w:val="00E86ED5"/>
    <w:rsid w:val="00E87034"/>
    <w:rsid w:val="00E873D3"/>
    <w:rsid w:val="00E87674"/>
    <w:rsid w:val="00E87882"/>
    <w:rsid w:val="00E87B65"/>
    <w:rsid w:val="00E87CA6"/>
    <w:rsid w:val="00E87D8D"/>
    <w:rsid w:val="00E90D42"/>
    <w:rsid w:val="00E911BC"/>
    <w:rsid w:val="00E92063"/>
    <w:rsid w:val="00E925C6"/>
    <w:rsid w:val="00E92A24"/>
    <w:rsid w:val="00E9302B"/>
    <w:rsid w:val="00E93370"/>
    <w:rsid w:val="00E93398"/>
    <w:rsid w:val="00E9371D"/>
    <w:rsid w:val="00E939ED"/>
    <w:rsid w:val="00E93A1F"/>
    <w:rsid w:val="00E940A2"/>
    <w:rsid w:val="00E942AB"/>
    <w:rsid w:val="00E9436A"/>
    <w:rsid w:val="00E94596"/>
    <w:rsid w:val="00E94EB2"/>
    <w:rsid w:val="00E9506A"/>
    <w:rsid w:val="00E95191"/>
    <w:rsid w:val="00E9540B"/>
    <w:rsid w:val="00E95502"/>
    <w:rsid w:val="00E959D4"/>
    <w:rsid w:val="00E964BB"/>
    <w:rsid w:val="00E9673D"/>
    <w:rsid w:val="00E967BA"/>
    <w:rsid w:val="00E97115"/>
    <w:rsid w:val="00E973D9"/>
    <w:rsid w:val="00E97566"/>
    <w:rsid w:val="00E979D6"/>
    <w:rsid w:val="00E97C49"/>
    <w:rsid w:val="00EA0502"/>
    <w:rsid w:val="00EA0654"/>
    <w:rsid w:val="00EA0777"/>
    <w:rsid w:val="00EA10CD"/>
    <w:rsid w:val="00EA1250"/>
    <w:rsid w:val="00EA15C5"/>
    <w:rsid w:val="00EA18C1"/>
    <w:rsid w:val="00EA1A3F"/>
    <w:rsid w:val="00EA1AAA"/>
    <w:rsid w:val="00EA1B27"/>
    <w:rsid w:val="00EA1DD3"/>
    <w:rsid w:val="00EA28B8"/>
    <w:rsid w:val="00EA33AA"/>
    <w:rsid w:val="00EA38F2"/>
    <w:rsid w:val="00EA4B92"/>
    <w:rsid w:val="00EA4C60"/>
    <w:rsid w:val="00EA5500"/>
    <w:rsid w:val="00EA5C5F"/>
    <w:rsid w:val="00EA5DAB"/>
    <w:rsid w:val="00EA5E76"/>
    <w:rsid w:val="00EA5E8E"/>
    <w:rsid w:val="00EA6402"/>
    <w:rsid w:val="00EA6A41"/>
    <w:rsid w:val="00EB00A1"/>
    <w:rsid w:val="00EB02CE"/>
    <w:rsid w:val="00EB09AD"/>
    <w:rsid w:val="00EB0C45"/>
    <w:rsid w:val="00EB1123"/>
    <w:rsid w:val="00EB1228"/>
    <w:rsid w:val="00EB1BDB"/>
    <w:rsid w:val="00EB1D2B"/>
    <w:rsid w:val="00EB233A"/>
    <w:rsid w:val="00EB341F"/>
    <w:rsid w:val="00EB37E5"/>
    <w:rsid w:val="00EB3DC9"/>
    <w:rsid w:val="00EB4F85"/>
    <w:rsid w:val="00EB5A71"/>
    <w:rsid w:val="00EB5AB0"/>
    <w:rsid w:val="00EB63F1"/>
    <w:rsid w:val="00EB6495"/>
    <w:rsid w:val="00EB6A14"/>
    <w:rsid w:val="00EB6ADE"/>
    <w:rsid w:val="00EB7A35"/>
    <w:rsid w:val="00EB7B9A"/>
    <w:rsid w:val="00EB7DDA"/>
    <w:rsid w:val="00EC028C"/>
    <w:rsid w:val="00EC0609"/>
    <w:rsid w:val="00EC08C4"/>
    <w:rsid w:val="00EC0E78"/>
    <w:rsid w:val="00EC1C81"/>
    <w:rsid w:val="00EC1D20"/>
    <w:rsid w:val="00EC2126"/>
    <w:rsid w:val="00EC2B52"/>
    <w:rsid w:val="00EC3D4F"/>
    <w:rsid w:val="00EC401F"/>
    <w:rsid w:val="00EC4B40"/>
    <w:rsid w:val="00EC4B6A"/>
    <w:rsid w:val="00EC516E"/>
    <w:rsid w:val="00EC5920"/>
    <w:rsid w:val="00EC59D7"/>
    <w:rsid w:val="00EC6B91"/>
    <w:rsid w:val="00EC70A0"/>
    <w:rsid w:val="00EC7779"/>
    <w:rsid w:val="00EC77E1"/>
    <w:rsid w:val="00EC7DC6"/>
    <w:rsid w:val="00ED001D"/>
    <w:rsid w:val="00ED0612"/>
    <w:rsid w:val="00ED1C8D"/>
    <w:rsid w:val="00ED1D34"/>
    <w:rsid w:val="00ED1FFE"/>
    <w:rsid w:val="00ED2B18"/>
    <w:rsid w:val="00ED2BF5"/>
    <w:rsid w:val="00ED2F72"/>
    <w:rsid w:val="00ED4055"/>
    <w:rsid w:val="00ED45E0"/>
    <w:rsid w:val="00ED4619"/>
    <w:rsid w:val="00ED47CD"/>
    <w:rsid w:val="00ED5358"/>
    <w:rsid w:val="00ED538A"/>
    <w:rsid w:val="00ED56AE"/>
    <w:rsid w:val="00ED5C93"/>
    <w:rsid w:val="00ED5D74"/>
    <w:rsid w:val="00ED68C6"/>
    <w:rsid w:val="00ED6BBA"/>
    <w:rsid w:val="00ED70E6"/>
    <w:rsid w:val="00ED7561"/>
    <w:rsid w:val="00ED76C2"/>
    <w:rsid w:val="00ED7D08"/>
    <w:rsid w:val="00EE03F1"/>
    <w:rsid w:val="00EE059E"/>
    <w:rsid w:val="00EE0BCA"/>
    <w:rsid w:val="00EE0BD2"/>
    <w:rsid w:val="00EE0D95"/>
    <w:rsid w:val="00EE0E3B"/>
    <w:rsid w:val="00EE1D0C"/>
    <w:rsid w:val="00EE1DA1"/>
    <w:rsid w:val="00EE1E26"/>
    <w:rsid w:val="00EE2702"/>
    <w:rsid w:val="00EE2828"/>
    <w:rsid w:val="00EE3C6B"/>
    <w:rsid w:val="00EE4012"/>
    <w:rsid w:val="00EE432E"/>
    <w:rsid w:val="00EE4628"/>
    <w:rsid w:val="00EE4F99"/>
    <w:rsid w:val="00EE5201"/>
    <w:rsid w:val="00EE55C0"/>
    <w:rsid w:val="00EE5DDF"/>
    <w:rsid w:val="00EE5F00"/>
    <w:rsid w:val="00EE600E"/>
    <w:rsid w:val="00EE686D"/>
    <w:rsid w:val="00EE6EA9"/>
    <w:rsid w:val="00EE77D9"/>
    <w:rsid w:val="00EE7CAA"/>
    <w:rsid w:val="00EF01D5"/>
    <w:rsid w:val="00EF105A"/>
    <w:rsid w:val="00EF1278"/>
    <w:rsid w:val="00EF147C"/>
    <w:rsid w:val="00EF15F9"/>
    <w:rsid w:val="00EF2EB4"/>
    <w:rsid w:val="00EF32B2"/>
    <w:rsid w:val="00EF3EF4"/>
    <w:rsid w:val="00EF41EE"/>
    <w:rsid w:val="00EF44AE"/>
    <w:rsid w:val="00EF4987"/>
    <w:rsid w:val="00EF538C"/>
    <w:rsid w:val="00EF575D"/>
    <w:rsid w:val="00EF5968"/>
    <w:rsid w:val="00EF5DE9"/>
    <w:rsid w:val="00EF5FEA"/>
    <w:rsid w:val="00EF6BBE"/>
    <w:rsid w:val="00EF6D3A"/>
    <w:rsid w:val="00EF7347"/>
    <w:rsid w:val="00EF7665"/>
    <w:rsid w:val="00F007BF"/>
    <w:rsid w:val="00F01494"/>
    <w:rsid w:val="00F01751"/>
    <w:rsid w:val="00F01BE6"/>
    <w:rsid w:val="00F02A51"/>
    <w:rsid w:val="00F02F26"/>
    <w:rsid w:val="00F032A3"/>
    <w:rsid w:val="00F033CB"/>
    <w:rsid w:val="00F036D8"/>
    <w:rsid w:val="00F0394F"/>
    <w:rsid w:val="00F039C4"/>
    <w:rsid w:val="00F03F05"/>
    <w:rsid w:val="00F04765"/>
    <w:rsid w:val="00F0499E"/>
    <w:rsid w:val="00F04BB8"/>
    <w:rsid w:val="00F04DC9"/>
    <w:rsid w:val="00F05675"/>
    <w:rsid w:val="00F05A00"/>
    <w:rsid w:val="00F05E1F"/>
    <w:rsid w:val="00F061EF"/>
    <w:rsid w:val="00F06595"/>
    <w:rsid w:val="00F06906"/>
    <w:rsid w:val="00F06A37"/>
    <w:rsid w:val="00F06AAD"/>
    <w:rsid w:val="00F077F9"/>
    <w:rsid w:val="00F07867"/>
    <w:rsid w:val="00F0788B"/>
    <w:rsid w:val="00F1077E"/>
    <w:rsid w:val="00F1093A"/>
    <w:rsid w:val="00F10AB8"/>
    <w:rsid w:val="00F115D4"/>
    <w:rsid w:val="00F1197A"/>
    <w:rsid w:val="00F11FD6"/>
    <w:rsid w:val="00F12006"/>
    <w:rsid w:val="00F12240"/>
    <w:rsid w:val="00F1239B"/>
    <w:rsid w:val="00F12592"/>
    <w:rsid w:val="00F13149"/>
    <w:rsid w:val="00F133B6"/>
    <w:rsid w:val="00F13A78"/>
    <w:rsid w:val="00F13F89"/>
    <w:rsid w:val="00F14FB9"/>
    <w:rsid w:val="00F15046"/>
    <w:rsid w:val="00F15298"/>
    <w:rsid w:val="00F15580"/>
    <w:rsid w:val="00F15726"/>
    <w:rsid w:val="00F15C74"/>
    <w:rsid w:val="00F16032"/>
    <w:rsid w:val="00F16065"/>
    <w:rsid w:val="00F16088"/>
    <w:rsid w:val="00F16918"/>
    <w:rsid w:val="00F16D69"/>
    <w:rsid w:val="00F16D9E"/>
    <w:rsid w:val="00F171E9"/>
    <w:rsid w:val="00F1730B"/>
    <w:rsid w:val="00F175C0"/>
    <w:rsid w:val="00F20DB0"/>
    <w:rsid w:val="00F20E14"/>
    <w:rsid w:val="00F20F1B"/>
    <w:rsid w:val="00F21785"/>
    <w:rsid w:val="00F21822"/>
    <w:rsid w:val="00F21910"/>
    <w:rsid w:val="00F21B17"/>
    <w:rsid w:val="00F21C3B"/>
    <w:rsid w:val="00F21D83"/>
    <w:rsid w:val="00F21DDB"/>
    <w:rsid w:val="00F22106"/>
    <w:rsid w:val="00F223FE"/>
    <w:rsid w:val="00F22762"/>
    <w:rsid w:val="00F23CF4"/>
    <w:rsid w:val="00F2451D"/>
    <w:rsid w:val="00F2490E"/>
    <w:rsid w:val="00F24AE4"/>
    <w:rsid w:val="00F2526C"/>
    <w:rsid w:val="00F254A2"/>
    <w:rsid w:val="00F25809"/>
    <w:rsid w:val="00F25A44"/>
    <w:rsid w:val="00F25F21"/>
    <w:rsid w:val="00F2658B"/>
    <w:rsid w:val="00F26C69"/>
    <w:rsid w:val="00F274E8"/>
    <w:rsid w:val="00F27C30"/>
    <w:rsid w:val="00F300DF"/>
    <w:rsid w:val="00F302E2"/>
    <w:rsid w:val="00F30F4F"/>
    <w:rsid w:val="00F3175E"/>
    <w:rsid w:val="00F31B7B"/>
    <w:rsid w:val="00F3273C"/>
    <w:rsid w:val="00F32A98"/>
    <w:rsid w:val="00F32C17"/>
    <w:rsid w:val="00F32C9C"/>
    <w:rsid w:val="00F32D35"/>
    <w:rsid w:val="00F33B12"/>
    <w:rsid w:val="00F3404B"/>
    <w:rsid w:val="00F340F2"/>
    <w:rsid w:val="00F34631"/>
    <w:rsid w:val="00F34D42"/>
    <w:rsid w:val="00F34EC6"/>
    <w:rsid w:val="00F35061"/>
    <w:rsid w:val="00F35179"/>
    <w:rsid w:val="00F35C1C"/>
    <w:rsid w:val="00F36022"/>
    <w:rsid w:val="00F36623"/>
    <w:rsid w:val="00F36652"/>
    <w:rsid w:val="00F3713D"/>
    <w:rsid w:val="00F37507"/>
    <w:rsid w:val="00F377A9"/>
    <w:rsid w:val="00F378A2"/>
    <w:rsid w:val="00F37F92"/>
    <w:rsid w:val="00F4006E"/>
    <w:rsid w:val="00F40D6E"/>
    <w:rsid w:val="00F41248"/>
    <w:rsid w:val="00F41C26"/>
    <w:rsid w:val="00F41CF6"/>
    <w:rsid w:val="00F41D1D"/>
    <w:rsid w:val="00F420CE"/>
    <w:rsid w:val="00F4230C"/>
    <w:rsid w:val="00F4238B"/>
    <w:rsid w:val="00F4248F"/>
    <w:rsid w:val="00F42600"/>
    <w:rsid w:val="00F42627"/>
    <w:rsid w:val="00F42641"/>
    <w:rsid w:val="00F42EFE"/>
    <w:rsid w:val="00F43155"/>
    <w:rsid w:val="00F43160"/>
    <w:rsid w:val="00F43206"/>
    <w:rsid w:val="00F433F5"/>
    <w:rsid w:val="00F43F05"/>
    <w:rsid w:val="00F4416E"/>
    <w:rsid w:val="00F441D7"/>
    <w:rsid w:val="00F449CB"/>
    <w:rsid w:val="00F45172"/>
    <w:rsid w:val="00F45455"/>
    <w:rsid w:val="00F45574"/>
    <w:rsid w:val="00F45BAF"/>
    <w:rsid w:val="00F45F5C"/>
    <w:rsid w:val="00F463AC"/>
    <w:rsid w:val="00F46448"/>
    <w:rsid w:val="00F46706"/>
    <w:rsid w:val="00F46845"/>
    <w:rsid w:val="00F50353"/>
    <w:rsid w:val="00F5107E"/>
    <w:rsid w:val="00F51356"/>
    <w:rsid w:val="00F516F5"/>
    <w:rsid w:val="00F518B8"/>
    <w:rsid w:val="00F51F99"/>
    <w:rsid w:val="00F5212B"/>
    <w:rsid w:val="00F52A31"/>
    <w:rsid w:val="00F52D30"/>
    <w:rsid w:val="00F52F61"/>
    <w:rsid w:val="00F53006"/>
    <w:rsid w:val="00F53649"/>
    <w:rsid w:val="00F53858"/>
    <w:rsid w:val="00F53918"/>
    <w:rsid w:val="00F5395B"/>
    <w:rsid w:val="00F54152"/>
    <w:rsid w:val="00F54585"/>
    <w:rsid w:val="00F54E13"/>
    <w:rsid w:val="00F54F83"/>
    <w:rsid w:val="00F55D47"/>
    <w:rsid w:val="00F56682"/>
    <w:rsid w:val="00F566FA"/>
    <w:rsid w:val="00F56DF5"/>
    <w:rsid w:val="00F56F7E"/>
    <w:rsid w:val="00F57234"/>
    <w:rsid w:val="00F5775F"/>
    <w:rsid w:val="00F57847"/>
    <w:rsid w:val="00F57854"/>
    <w:rsid w:val="00F602D2"/>
    <w:rsid w:val="00F605AF"/>
    <w:rsid w:val="00F60950"/>
    <w:rsid w:val="00F6293F"/>
    <w:rsid w:val="00F646F9"/>
    <w:rsid w:val="00F64AA4"/>
    <w:rsid w:val="00F64F20"/>
    <w:rsid w:val="00F64FE1"/>
    <w:rsid w:val="00F65832"/>
    <w:rsid w:val="00F65C68"/>
    <w:rsid w:val="00F65F4A"/>
    <w:rsid w:val="00F66139"/>
    <w:rsid w:val="00F6737F"/>
    <w:rsid w:val="00F679A3"/>
    <w:rsid w:val="00F67AD3"/>
    <w:rsid w:val="00F67DAA"/>
    <w:rsid w:val="00F70543"/>
    <w:rsid w:val="00F705BA"/>
    <w:rsid w:val="00F70939"/>
    <w:rsid w:val="00F70A18"/>
    <w:rsid w:val="00F70A4E"/>
    <w:rsid w:val="00F70EB4"/>
    <w:rsid w:val="00F711B3"/>
    <w:rsid w:val="00F720FD"/>
    <w:rsid w:val="00F725D8"/>
    <w:rsid w:val="00F72BB1"/>
    <w:rsid w:val="00F73059"/>
    <w:rsid w:val="00F73234"/>
    <w:rsid w:val="00F7347E"/>
    <w:rsid w:val="00F7431E"/>
    <w:rsid w:val="00F74622"/>
    <w:rsid w:val="00F74FDD"/>
    <w:rsid w:val="00F75301"/>
    <w:rsid w:val="00F7556E"/>
    <w:rsid w:val="00F759C3"/>
    <w:rsid w:val="00F75A51"/>
    <w:rsid w:val="00F75FB3"/>
    <w:rsid w:val="00F7679B"/>
    <w:rsid w:val="00F771B7"/>
    <w:rsid w:val="00F77DB9"/>
    <w:rsid w:val="00F800E9"/>
    <w:rsid w:val="00F80255"/>
    <w:rsid w:val="00F803BE"/>
    <w:rsid w:val="00F8098F"/>
    <w:rsid w:val="00F80A0D"/>
    <w:rsid w:val="00F80A7F"/>
    <w:rsid w:val="00F80CFB"/>
    <w:rsid w:val="00F8138D"/>
    <w:rsid w:val="00F81AAB"/>
    <w:rsid w:val="00F81E0D"/>
    <w:rsid w:val="00F82CD5"/>
    <w:rsid w:val="00F831D8"/>
    <w:rsid w:val="00F8347E"/>
    <w:rsid w:val="00F8387E"/>
    <w:rsid w:val="00F8388D"/>
    <w:rsid w:val="00F852D0"/>
    <w:rsid w:val="00F8577F"/>
    <w:rsid w:val="00F85A56"/>
    <w:rsid w:val="00F85E3E"/>
    <w:rsid w:val="00F86185"/>
    <w:rsid w:val="00F861F9"/>
    <w:rsid w:val="00F86209"/>
    <w:rsid w:val="00F86E63"/>
    <w:rsid w:val="00F871C6"/>
    <w:rsid w:val="00F879D7"/>
    <w:rsid w:val="00F87BBC"/>
    <w:rsid w:val="00F90E95"/>
    <w:rsid w:val="00F91B59"/>
    <w:rsid w:val="00F930C2"/>
    <w:rsid w:val="00F931C7"/>
    <w:rsid w:val="00F937AB"/>
    <w:rsid w:val="00F93B2C"/>
    <w:rsid w:val="00F93C16"/>
    <w:rsid w:val="00F93EA7"/>
    <w:rsid w:val="00F93F1E"/>
    <w:rsid w:val="00F9451B"/>
    <w:rsid w:val="00F94947"/>
    <w:rsid w:val="00F94A0E"/>
    <w:rsid w:val="00F94D09"/>
    <w:rsid w:val="00F95154"/>
    <w:rsid w:val="00F95384"/>
    <w:rsid w:val="00F95EF1"/>
    <w:rsid w:val="00F96804"/>
    <w:rsid w:val="00F9773F"/>
    <w:rsid w:val="00F977CC"/>
    <w:rsid w:val="00F97C9D"/>
    <w:rsid w:val="00FA0424"/>
    <w:rsid w:val="00FA0518"/>
    <w:rsid w:val="00FA0ECF"/>
    <w:rsid w:val="00FA0F1B"/>
    <w:rsid w:val="00FA1672"/>
    <w:rsid w:val="00FA1A7F"/>
    <w:rsid w:val="00FA21D7"/>
    <w:rsid w:val="00FA241F"/>
    <w:rsid w:val="00FA2D80"/>
    <w:rsid w:val="00FA34F6"/>
    <w:rsid w:val="00FA38A3"/>
    <w:rsid w:val="00FA4185"/>
    <w:rsid w:val="00FA423D"/>
    <w:rsid w:val="00FA483D"/>
    <w:rsid w:val="00FA4931"/>
    <w:rsid w:val="00FA4A84"/>
    <w:rsid w:val="00FA4FDC"/>
    <w:rsid w:val="00FA560E"/>
    <w:rsid w:val="00FA565D"/>
    <w:rsid w:val="00FA79BD"/>
    <w:rsid w:val="00FA7AC1"/>
    <w:rsid w:val="00FA7AD9"/>
    <w:rsid w:val="00FA7BB1"/>
    <w:rsid w:val="00FB054D"/>
    <w:rsid w:val="00FB0554"/>
    <w:rsid w:val="00FB0B92"/>
    <w:rsid w:val="00FB1EFE"/>
    <w:rsid w:val="00FB254E"/>
    <w:rsid w:val="00FB2678"/>
    <w:rsid w:val="00FB3227"/>
    <w:rsid w:val="00FB35C9"/>
    <w:rsid w:val="00FB4A69"/>
    <w:rsid w:val="00FB4DDA"/>
    <w:rsid w:val="00FB4FBB"/>
    <w:rsid w:val="00FB507B"/>
    <w:rsid w:val="00FB5535"/>
    <w:rsid w:val="00FB6132"/>
    <w:rsid w:val="00FB6840"/>
    <w:rsid w:val="00FB6AE7"/>
    <w:rsid w:val="00FB6D84"/>
    <w:rsid w:val="00FB7203"/>
    <w:rsid w:val="00FB7BAC"/>
    <w:rsid w:val="00FC0415"/>
    <w:rsid w:val="00FC098F"/>
    <w:rsid w:val="00FC0D02"/>
    <w:rsid w:val="00FC0D65"/>
    <w:rsid w:val="00FC0F17"/>
    <w:rsid w:val="00FC1412"/>
    <w:rsid w:val="00FC249E"/>
    <w:rsid w:val="00FC24F7"/>
    <w:rsid w:val="00FC26F3"/>
    <w:rsid w:val="00FC2E62"/>
    <w:rsid w:val="00FC2EBB"/>
    <w:rsid w:val="00FC2FA6"/>
    <w:rsid w:val="00FC30B7"/>
    <w:rsid w:val="00FC30E1"/>
    <w:rsid w:val="00FC326F"/>
    <w:rsid w:val="00FC3D10"/>
    <w:rsid w:val="00FC45E6"/>
    <w:rsid w:val="00FC51CD"/>
    <w:rsid w:val="00FC535C"/>
    <w:rsid w:val="00FC6009"/>
    <w:rsid w:val="00FC6425"/>
    <w:rsid w:val="00FC673A"/>
    <w:rsid w:val="00FC74DE"/>
    <w:rsid w:val="00FC7AF9"/>
    <w:rsid w:val="00FD04B9"/>
    <w:rsid w:val="00FD0730"/>
    <w:rsid w:val="00FD08E9"/>
    <w:rsid w:val="00FD135B"/>
    <w:rsid w:val="00FD1F6D"/>
    <w:rsid w:val="00FD278E"/>
    <w:rsid w:val="00FD2BAA"/>
    <w:rsid w:val="00FD312C"/>
    <w:rsid w:val="00FD3382"/>
    <w:rsid w:val="00FD34E2"/>
    <w:rsid w:val="00FD3C8E"/>
    <w:rsid w:val="00FD3E50"/>
    <w:rsid w:val="00FD470B"/>
    <w:rsid w:val="00FD50C1"/>
    <w:rsid w:val="00FD51C7"/>
    <w:rsid w:val="00FD527C"/>
    <w:rsid w:val="00FD556B"/>
    <w:rsid w:val="00FD5697"/>
    <w:rsid w:val="00FD599F"/>
    <w:rsid w:val="00FD59CE"/>
    <w:rsid w:val="00FD5DD6"/>
    <w:rsid w:val="00FD6247"/>
    <w:rsid w:val="00FD70B5"/>
    <w:rsid w:val="00FD7361"/>
    <w:rsid w:val="00FD7730"/>
    <w:rsid w:val="00FD7936"/>
    <w:rsid w:val="00FE0631"/>
    <w:rsid w:val="00FE09A1"/>
    <w:rsid w:val="00FE0A46"/>
    <w:rsid w:val="00FE0ED0"/>
    <w:rsid w:val="00FE1358"/>
    <w:rsid w:val="00FE1506"/>
    <w:rsid w:val="00FE2840"/>
    <w:rsid w:val="00FE2FB9"/>
    <w:rsid w:val="00FE34AB"/>
    <w:rsid w:val="00FE35FC"/>
    <w:rsid w:val="00FE3D45"/>
    <w:rsid w:val="00FE4D4E"/>
    <w:rsid w:val="00FE50B9"/>
    <w:rsid w:val="00FE50FC"/>
    <w:rsid w:val="00FE5907"/>
    <w:rsid w:val="00FE6141"/>
    <w:rsid w:val="00FE6C35"/>
    <w:rsid w:val="00FE6D9C"/>
    <w:rsid w:val="00FE6F16"/>
    <w:rsid w:val="00FE70D7"/>
    <w:rsid w:val="00FE7288"/>
    <w:rsid w:val="00FE7855"/>
    <w:rsid w:val="00FF04DA"/>
    <w:rsid w:val="00FF06D3"/>
    <w:rsid w:val="00FF0C0D"/>
    <w:rsid w:val="00FF3C05"/>
    <w:rsid w:val="00FF4327"/>
    <w:rsid w:val="00FF46AC"/>
    <w:rsid w:val="00FF48D3"/>
    <w:rsid w:val="00FF492D"/>
    <w:rsid w:val="00FF4E1A"/>
    <w:rsid w:val="00FF5175"/>
    <w:rsid w:val="00FF5786"/>
    <w:rsid w:val="00FF5A22"/>
    <w:rsid w:val="00FF5EF6"/>
    <w:rsid w:val="00FF676F"/>
    <w:rsid w:val="00FF6B90"/>
    <w:rsid w:val="00FF6E26"/>
    <w:rsid w:val="00FF71DF"/>
    <w:rsid w:val="00FF7801"/>
    <w:rsid w:val="00FF7F55"/>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6C32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ko-K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locked="1"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B30"/>
    <w:rPr>
      <w:rFonts w:ascii="Times New Roman" w:eastAsia="Batang"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C2B30"/>
    <w:rPr>
      <w:rFonts w:cs="Times New Roman"/>
      <w:color w:val="0000FF"/>
      <w:u w:val="single"/>
    </w:rPr>
  </w:style>
  <w:style w:type="character" w:styleId="Strong">
    <w:name w:val="Strong"/>
    <w:uiPriority w:val="22"/>
    <w:qFormat/>
    <w:rsid w:val="005C2B30"/>
    <w:rPr>
      <w:rFonts w:cs="Times New Roman"/>
      <w:b/>
      <w:bCs/>
    </w:rPr>
  </w:style>
  <w:style w:type="paragraph" w:styleId="FootnoteText">
    <w:name w:val="footnote text"/>
    <w:basedOn w:val="Normal"/>
    <w:link w:val="FootnoteTextChar"/>
    <w:uiPriority w:val="99"/>
    <w:semiHidden/>
    <w:rsid w:val="0088797C"/>
    <w:rPr>
      <w:sz w:val="20"/>
      <w:szCs w:val="20"/>
    </w:rPr>
  </w:style>
  <w:style w:type="character" w:customStyle="1" w:styleId="FootnoteTextChar">
    <w:name w:val="Footnote Text Char"/>
    <w:link w:val="FootnoteText"/>
    <w:uiPriority w:val="99"/>
    <w:semiHidden/>
    <w:locked/>
    <w:rsid w:val="0088797C"/>
    <w:rPr>
      <w:rFonts w:ascii="Times New Roman" w:eastAsia="Batang" w:hAnsi="Times New Roman" w:cs="Times New Roman"/>
      <w:sz w:val="20"/>
      <w:szCs w:val="20"/>
    </w:rPr>
  </w:style>
  <w:style w:type="character" w:styleId="FootnoteReference">
    <w:name w:val="footnote reference"/>
    <w:semiHidden/>
    <w:rsid w:val="0088797C"/>
    <w:rPr>
      <w:rFonts w:cs="Times New Roman"/>
      <w:vertAlign w:val="superscript"/>
    </w:rPr>
  </w:style>
  <w:style w:type="character" w:styleId="EndnoteReference">
    <w:name w:val="endnote reference"/>
    <w:uiPriority w:val="99"/>
    <w:semiHidden/>
    <w:rsid w:val="00FE0A46"/>
    <w:rPr>
      <w:rFonts w:cs="Times New Roman"/>
      <w:vertAlign w:val="superscript"/>
    </w:rPr>
  </w:style>
  <w:style w:type="paragraph" w:styleId="EndnoteText">
    <w:name w:val="endnote text"/>
    <w:basedOn w:val="Normal"/>
    <w:link w:val="EndnoteTextChar"/>
    <w:uiPriority w:val="99"/>
    <w:semiHidden/>
    <w:rsid w:val="00BC400E"/>
    <w:pPr>
      <w:snapToGrid w:val="0"/>
    </w:pPr>
    <w:rPr>
      <w:lang w:val="en-CA" w:eastAsia="ko-KR"/>
    </w:rPr>
  </w:style>
  <w:style w:type="character" w:customStyle="1" w:styleId="EndnoteTextChar">
    <w:name w:val="Endnote Text Char"/>
    <w:link w:val="EndnoteText"/>
    <w:uiPriority w:val="99"/>
    <w:semiHidden/>
    <w:locked/>
    <w:rsid w:val="00BC400E"/>
    <w:rPr>
      <w:rFonts w:ascii="Times New Roman" w:eastAsia="Batang" w:hAnsi="Times New Roman" w:cs="Times New Roman"/>
      <w:sz w:val="24"/>
      <w:szCs w:val="24"/>
      <w:lang w:val="en-CA" w:eastAsia="ko-KR"/>
    </w:rPr>
  </w:style>
  <w:style w:type="character" w:styleId="PlaceholderText">
    <w:name w:val="Placeholder Text"/>
    <w:uiPriority w:val="99"/>
    <w:semiHidden/>
    <w:rsid w:val="000E139D"/>
    <w:rPr>
      <w:rFonts w:cs="Times New Roman"/>
      <w:color w:val="808080"/>
    </w:rPr>
  </w:style>
  <w:style w:type="paragraph" w:styleId="BalloonText">
    <w:name w:val="Balloon Text"/>
    <w:basedOn w:val="Normal"/>
    <w:link w:val="BalloonTextChar"/>
    <w:uiPriority w:val="99"/>
    <w:semiHidden/>
    <w:rsid w:val="000E139D"/>
    <w:rPr>
      <w:rFonts w:ascii="Tahoma" w:hAnsi="Tahoma"/>
      <w:sz w:val="16"/>
      <w:szCs w:val="16"/>
    </w:rPr>
  </w:style>
  <w:style w:type="character" w:customStyle="1" w:styleId="BalloonTextChar">
    <w:name w:val="Balloon Text Char"/>
    <w:link w:val="BalloonText"/>
    <w:uiPriority w:val="99"/>
    <w:semiHidden/>
    <w:locked/>
    <w:rsid w:val="000E139D"/>
    <w:rPr>
      <w:rFonts w:ascii="Tahoma" w:eastAsia="Batang" w:hAnsi="Tahoma" w:cs="Tahoma"/>
      <w:sz w:val="16"/>
      <w:szCs w:val="16"/>
    </w:rPr>
  </w:style>
  <w:style w:type="paragraph" w:styleId="NormalWeb">
    <w:name w:val="Normal (Web)"/>
    <w:basedOn w:val="Normal"/>
    <w:uiPriority w:val="99"/>
    <w:rsid w:val="00C97344"/>
    <w:pPr>
      <w:spacing w:before="100" w:beforeAutospacing="1" w:after="100" w:afterAutospacing="1"/>
    </w:pPr>
    <w:rPr>
      <w:rFonts w:eastAsia="Times New Roman"/>
    </w:rPr>
  </w:style>
  <w:style w:type="paragraph" w:styleId="ListParagraph">
    <w:name w:val="List Paragraph"/>
    <w:basedOn w:val="Normal"/>
    <w:uiPriority w:val="99"/>
    <w:qFormat/>
    <w:rsid w:val="004F1879"/>
    <w:pPr>
      <w:ind w:left="720"/>
      <w:contextualSpacing/>
    </w:pPr>
    <w:rPr>
      <w:rFonts w:eastAsia="Times New Roman"/>
    </w:rPr>
  </w:style>
  <w:style w:type="paragraph" w:styleId="PlainText">
    <w:name w:val="Plain Text"/>
    <w:basedOn w:val="Normal"/>
    <w:link w:val="PlainTextChar"/>
    <w:uiPriority w:val="99"/>
    <w:rsid w:val="00FD1F6D"/>
    <w:rPr>
      <w:rFonts w:ascii="Consolas" w:eastAsia="Calibri" w:hAnsi="Consolas"/>
      <w:sz w:val="21"/>
      <w:szCs w:val="21"/>
    </w:rPr>
  </w:style>
  <w:style w:type="character" w:customStyle="1" w:styleId="PlainTextChar">
    <w:name w:val="Plain Text Char"/>
    <w:link w:val="PlainText"/>
    <w:uiPriority w:val="99"/>
    <w:locked/>
    <w:rsid w:val="00FD1F6D"/>
    <w:rPr>
      <w:rFonts w:ascii="Consolas" w:hAnsi="Consolas" w:cs="Times New Roman"/>
      <w:sz w:val="21"/>
      <w:szCs w:val="21"/>
    </w:rPr>
  </w:style>
  <w:style w:type="table" w:styleId="TableGrid">
    <w:name w:val="Table Grid"/>
    <w:basedOn w:val="TableNormal"/>
    <w:uiPriority w:val="59"/>
    <w:locked/>
    <w:rsid w:val="00FD1F6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D46097"/>
    <w:pPr>
      <w:tabs>
        <w:tab w:val="center" w:pos="4680"/>
        <w:tab w:val="right" w:pos="9360"/>
      </w:tabs>
    </w:pPr>
  </w:style>
  <w:style w:type="character" w:customStyle="1" w:styleId="HeaderChar">
    <w:name w:val="Header Char"/>
    <w:link w:val="Header"/>
    <w:uiPriority w:val="99"/>
    <w:rsid w:val="00D46097"/>
    <w:rPr>
      <w:rFonts w:ascii="Times New Roman" w:eastAsia="Batang" w:hAnsi="Times New Roman"/>
      <w:sz w:val="24"/>
      <w:szCs w:val="24"/>
    </w:rPr>
  </w:style>
  <w:style w:type="paragraph" w:styleId="Footer">
    <w:name w:val="footer"/>
    <w:basedOn w:val="Normal"/>
    <w:link w:val="FooterChar"/>
    <w:uiPriority w:val="99"/>
    <w:unhideWhenUsed/>
    <w:rsid w:val="00D46097"/>
    <w:pPr>
      <w:tabs>
        <w:tab w:val="center" w:pos="4680"/>
        <w:tab w:val="right" w:pos="9360"/>
      </w:tabs>
    </w:pPr>
  </w:style>
  <w:style w:type="character" w:customStyle="1" w:styleId="FooterChar">
    <w:name w:val="Footer Char"/>
    <w:link w:val="Footer"/>
    <w:uiPriority w:val="99"/>
    <w:rsid w:val="00D46097"/>
    <w:rPr>
      <w:rFonts w:ascii="Times New Roman" w:eastAsia="Batang" w:hAnsi="Times New Roman"/>
      <w:sz w:val="24"/>
      <w:szCs w:val="24"/>
    </w:rPr>
  </w:style>
  <w:style w:type="paragraph" w:styleId="HTMLPreformatted">
    <w:name w:val="HTML Preformatted"/>
    <w:basedOn w:val="Normal"/>
    <w:link w:val="HTMLPreformattedChar"/>
    <w:uiPriority w:val="99"/>
    <w:semiHidden/>
    <w:unhideWhenUsed/>
    <w:rsid w:val="00053C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rPr>
  </w:style>
  <w:style w:type="character" w:customStyle="1" w:styleId="HTMLPreformattedChar">
    <w:name w:val="HTML Preformatted Char"/>
    <w:link w:val="HTMLPreformatted"/>
    <w:uiPriority w:val="99"/>
    <w:semiHidden/>
    <w:rsid w:val="00053C2D"/>
    <w:rPr>
      <w:rFonts w:ascii="Courier New" w:eastAsia="Times New Roman" w:hAnsi="Courier New" w:cs="Courier New"/>
    </w:rPr>
  </w:style>
  <w:style w:type="paragraph" w:styleId="BodyText">
    <w:name w:val="Body Text"/>
    <w:basedOn w:val="Normal"/>
    <w:link w:val="BodyTextChar"/>
    <w:rsid w:val="0026644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pPr>
    <w:rPr>
      <w:rFonts w:eastAsia="Times New Roman"/>
      <w:szCs w:val="20"/>
    </w:rPr>
  </w:style>
  <w:style w:type="character" w:customStyle="1" w:styleId="BodyTextChar">
    <w:name w:val="Body Text Char"/>
    <w:link w:val="BodyText"/>
    <w:rsid w:val="0026644C"/>
    <w:rPr>
      <w:rFonts w:ascii="Times New Roman" w:eastAsia="Times New Roman" w:hAnsi="Times New Roman"/>
      <w:snapToGrid/>
      <w:sz w:val="24"/>
      <w:lang w:eastAsia="en-US"/>
    </w:rPr>
  </w:style>
  <w:style w:type="character" w:customStyle="1" w:styleId="apple-converted-space">
    <w:name w:val="apple-converted-space"/>
    <w:basedOn w:val="DefaultParagraphFont"/>
    <w:rsid w:val="00D52A9A"/>
  </w:style>
  <w:style w:type="character" w:customStyle="1" w:styleId="apple-style-span">
    <w:name w:val="apple-style-span"/>
    <w:basedOn w:val="DefaultParagraphFont"/>
    <w:rsid w:val="00501683"/>
  </w:style>
  <w:style w:type="character" w:styleId="CommentReference">
    <w:name w:val="annotation reference"/>
    <w:uiPriority w:val="99"/>
    <w:semiHidden/>
    <w:unhideWhenUsed/>
    <w:rsid w:val="00EA5C5F"/>
    <w:rPr>
      <w:sz w:val="16"/>
      <w:szCs w:val="16"/>
    </w:rPr>
  </w:style>
  <w:style w:type="paragraph" w:styleId="CommentText">
    <w:name w:val="annotation text"/>
    <w:basedOn w:val="Normal"/>
    <w:link w:val="CommentTextChar"/>
    <w:uiPriority w:val="99"/>
    <w:unhideWhenUsed/>
    <w:rsid w:val="00EA5C5F"/>
    <w:rPr>
      <w:sz w:val="20"/>
      <w:szCs w:val="20"/>
    </w:rPr>
  </w:style>
  <w:style w:type="character" w:customStyle="1" w:styleId="CommentTextChar">
    <w:name w:val="Comment Text Char"/>
    <w:link w:val="CommentText"/>
    <w:uiPriority w:val="99"/>
    <w:rsid w:val="00EA5C5F"/>
    <w:rPr>
      <w:rFonts w:ascii="Times New Roman" w:eastAsia="Batang" w:hAnsi="Times New Roman"/>
      <w:lang w:eastAsia="en-US"/>
    </w:rPr>
  </w:style>
  <w:style w:type="paragraph" w:styleId="CommentSubject">
    <w:name w:val="annotation subject"/>
    <w:basedOn w:val="CommentText"/>
    <w:next w:val="CommentText"/>
    <w:link w:val="CommentSubjectChar"/>
    <w:uiPriority w:val="99"/>
    <w:semiHidden/>
    <w:unhideWhenUsed/>
    <w:rsid w:val="00EA5C5F"/>
    <w:rPr>
      <w:b/>
      <w:bCs/>
    </w:rPr>
  </w:style>
  <w:style w:type="character" w:customStyle="1" w:styleId="CommentSubjectChar">
    <w:name w:val="Comment Subject Char"/>
    <w:link w:val="CommentSubject"/>
    <w:uiPriority w:val="99"/>
    <w:semiHidden/>
    <w:rsid w:val="00EA5C5F"/>
    <w:rPr>
      <w:rFonts w:ascii="Times New Roman" w:eastAsia="Batang" w:hAnsi="Times New Roman"/>
      <w:b/>
      <w:bCs/>
      <w:lang w:eastAsia="en-US"/>
    </w:rPr>
  </w:style>
  <w:style w:type="character" w:styleId="FollowedHyperlink">
    <w:name w:val="FollowedHyperlink"/>
    <w:uiPriority w:val="99"/>
    <w:semiHidden/>
    <w:unhideWhenUsed/>
    <w:rsid w:val="004E25C3"/>
    <w:rPr>
      <w:color w:val="800080"/>
      <w:u w:val="single"/>
    </w:rPr>
  </w:style>
  <w:style w:type="character" w:customStyle="1" w:styleId="iceouttxt">
    <w:name w:val="iceouttxt"/>
    <w:basedOn w:val="DefaultParagraphFont"/>
    <w:rsid w:val="00B86903"/>
  </w:style>
  <w:style w:type="paragraph" w:styleId="Revision">
    <w:name w:val="Revision"/>
    <w:hidden/>
    <w:uiPriority w:val="99"/>
    <w:semiHidden/>
    <w:rsid w:val="00522FE6"/>
    <w:rPr>
      <w:rFonts w:ascii="Times New Roman" w:eastAsia="Batang" w:hAnsi="Times New Roman"/>
      <w:sz w:val="24"/>
      <w:szCs w:val="24"/>
      <w:lang w:eastAsia="en-US"/>
    </w:rPr>
  </w:style>
  <w:style w:type="character" w:styleId="Emphasis">
    <w:name w:val="Emphasis"/>
    <w:uiPriority w:val="20"/>
    <w:qFormat/>
    <w:locked/>
    <w:rsid w:val="000049F5"/>
    <w:rPr>
      <w:i/>
      <w:iCs/>
    </w:rPr>
  </w:style>
  <w:style w:type="character" w:customStyle="1" w:styleId="refauSurname">
    <w:name w:val="ref_auSurname"/>
    <w:rsid w:val="002B5FA3"/>
    <w:rPr>
      <w:color w:val="808000"/>
      <w:sz w:val="24"/>
      <w:bdr w:val="none" w:sz="0" w:space="0" w:color="auto"/>
      <w:shd w:val="clear" w:color="auto" w:fill="auto"/>
    </w:rPr>
  </w:style>
  <w:style w:type="paragraph" w:customStyle="1" w:styleId="Mdeck4text">
    <w:name w:val="M_deck_4_text"/>
    <w:autoRedefine/>
    <w:qFormat/>
    <w:rsid w:val="0011554B"/>
    <w:pPr>
      <w:kinsoku w:val="0"/>
      <w:overflowPunct w:val="0"/>
      <w:autoSpaceDE w:val="0"/>
      <w:autoSpaceDN w:val="0"/>
      <w:adjustRightInd w:val="0"/>
      <w:snapToGrid w:val="0"/>
      <w:spacing w:line="480" w:lineRule="auto"/>
      <w:ind w:firstLine="288"/>
      <w:jc w:val="both"/>
    </w:pPr>
    <w:rPr>
      <w:rFonts w:ascii="Times New Roman" w:eastAsia="Times New Roman" w:hAnsi="Times New Roman" w:cstheme="minorBidi"/>
      <w:snapToGrid w:val="0"/>
      <w:color w:val="000000"/>
      <w:sz w:val="24"/>
      <w:lang w:eastAsia="de-DE" w:bidi="en-US"/>
    </w:rPr>
  </w:style>
  <w:style w:type="paragraph" w:styleId="NoSpacing">
    <w:name w:val="No Spacing"/>
    <w:link w:val="NoSpacingChar"/>
    <w:uiPriority w:val="1"/>
    <w:qFormat/>
    <w:rsid w:val="00475E20"/>
    <w:rPr>
      <w:rFonts w:asciiTheme="minorHAnsi" w:eastAsiaTheme="minorEastAsia" w:hAnsiTheme="minorHAnsi" w:cstheme="minorBidi"/>
      <w:sz w:val="22"/>
      <w:szCs w:val="22"/>
      <w:lang w:val="en-GB"/>
    </w:rPr>
  </w:style>
  <w:style w:type="character" w:customStyle="1" w:styleId="NoSpacingChar">
    <w:name w:val="No Spacing Char"/>
    <w:basedOn w:val="DefaultParagraphFont"/>
    <w:link w:val="NoSpacing"/>
    <w:uiPriority w:val="1"/>
    <w:rsid w:val="00475E20"/>
    <w:rPr>
      <w:rFonts w:asciiTheme="minorHAnsi" w:eastAsiaTheme="minorEastAsia" w:hAnsiTheme="minorHAnsi" w:cstheme="minorBidi"/>
      <w:sz w:val="22"/>
      <w:szCs w:val="22"/>
      <w:lang w:val="en-GB"/>
    </w:rPr>
  </w:style>
  <w:style w:type="character" w:customStyle="1" w:styleId="Mention1">
    <w:name w:val="Mention1"/>
    <w:basedOn w:val="DefaultParagraphFont"/>
    <w:uiPriority w:val="99"/>
    <w:semiHidden/>
    <w:unhideWhenUsed/>
    <w:rsid w:val="00534A33"/>
    <w:rPr>
      <w:color w:val="2B579A"/>
      <w:shd w:val="clear" w:color="auto" w:fill="E6E6E6"/>
    </w:rPr>
  </w:style>
  <w:style w:type="character" w:customStyle="1" w:styleId="yht">
    <w:name w:val="_yht"/>
    <w:basedOn w:val="DefaultParagraphFont"/>
    <w:rsid w:val="00221C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1563">
      <w:bodyDiv w:val="1"/>
      <w:marLeft w:val="0"/>
      <w:marRight w:val="0"/>
      <w:marTop w:val="0"/>
      <w:marBottom w:val="0"/>
      <w:divBdr>
        <w:top w:val="none" w:sz="0" w:space="0" w:color="auto"/>
        <w:left w:val="none" w:sz="0" w:space="0" w:color="auto"/>
        <w:bottom w:val="none" w:sz="0" w:space="0" w:color="auto"/>
        <w:right w:val="none" w:sz="0" w:space="0" w:color="auto"/>
      </w:divBdr>
    </w:div>
    <w:div w:id="51392717">
      <w:bodyDiv w:val="1"/>
      <w:marLeft w:val="0"/>
      <w:marRight w:val="0"/>
      <w:marTop w:val="0"/>
      <w:marBottom w:val="0"/>
      <w:divBdr>
        <w:top w:val="none" w:sz="0" w:space="0" w:color="auto"/>
        <w:left w:val="none" w:sz="0" w:space="0" w:color="auto"/>
        <w:bottom w:val="none" w:sz="0" w:space="0" w:color="auto"/>
        <w:right w:val="none" w:sz="0" w:space="0" w:color="auto"/>
      </w:divBdr>
    </w:div>
    <w:div w:id="71777169">
      <w:bodyDiv w:val="1"/>
      <w:marLeft w:val="0"/>
      <w:marRight w:val="0"/>
      <w:marTop w:val="0"/>
      <w:marBottom w:val="0"/>
      <w:divBdr>
        <w:top w:val="none" w:sz="0" w:space="0" w:color="auto"/>
        <w:left w:val="none" w:sz="0" w:space="0" w:color="auto"/>
        <w:bottom w:val="none" w:sz="0" w:space="0" w:color="auto"/>
        <w:right w:val="none" w:sz="0" w:space="0" w:color="auto"/>
      </w:divBdr>
    </w:div>
    <w:div w:id="105078207">
      <w:bodyDiv w:val="1"/>
      <w:marLeft w:val="0"/>
      <w:marRight w:val="0"/>
      <w:marTop w:val="0"/>
      <w:marBottom w:val="0"/>
      <w:divBdr>
        <w:top w:val="none" w:sz="0" w:space="0" w:color="auto"/>
        <w:left w:val="none" w:sz="0" w:space="0" w:color="auto"/>
        <w:bottom w:val="none" w:sz="0" w:space="0" w:color="auto"/>
        <w:right w:val="none" w:sz="0" w:space="0" w:color="auto"/>
      </w:divBdr>
    </w:div>
    <w:div w:id="118649108">
      <w:bodyDiv w:val="1"/>
      <w:marLeft w:val="0"/>
      <w:marRight w:val="0"/>
      <w:marTop w:val="0"/>
      <w:marBottom w:val="0"/>
      <w:divBdr>
        <w:top w:val="none" w:sz="0" w:space="0" w:color="auto"/>
        <w:left w:val="none" w:sz="0" w:space="0" w:color="auto"/>
        <w:bottom w:val="none" w:sz="0" w:space="0" w:color="auto"/>
        <w:right w:val="none" w:sz="0" w:space="0" w:color="auto"/>
      </w:divBdr>
    </w:div>
    <w:div w:id="163514689">
      <w:bodyDiv w:val="1"/>
      <w:marLeft w:val="0"/>
      <w:marRight w:val="0"/>
      <w:marTop w:val="0"/>
      <w:marBottom w:val="0"/>
      <w:divBdr>
        <w:top w:val="none" w:sz="0" w:space="0" w:color="auto"/>
        <w:left w:val="none" w:sz="0" w:space="0" w:color="auto"/>
        <w:bottom w:val="none" w:sz="0" w:space="0" w:color="auto"/>
        <w:right w:val="none" w:sz="0" w:space="0" w:color="auto"/>
      </w:divBdr>
      <w:divsChild>
        <w:div w:id="553540688">
          <w:marLeft w:val="0"/>
          <w:marRight w:val="0"/>
          <w:marTop w:val="0"/>
          <w:marBottom w:val="0"/>
          <w:divBdr>
            <w:top w:val="none" w:sz="0" w:space="0" w:color="auto"/>
            <w:left w:val="none" w:sz="0" w:space="0" w:color="auto"/>
            <w:bottom w:val="none" w:sz="0" w:space="0" w:color="auto"/>
            <w:right w:val="none" w:sz="0" w:space="0" w:color="auto"/>
          </w:divBdr>
        </w:div>
      </w:divsChild>
    </w:div>
    <w:div w:id="167183050">
      <w:bodyDiv w:val="1"/>
      <w:marLeft w:val="0"/>
      <w:marRight w:val="0"/>
      <w:marTop w:val="0"/>
      <w:marBottom w:val="0"/>
      <w:divBdr>
        <w:top w:val="none" w:sz="0" w:space="0" w:color="auto"/>
        <w:left w:val="none" w:sz="0" w:space="0" w:color="auto"/>
        <w:bottom w:val="none" w:sz="0" w:space="0" w:color="auto"/>
        <w:right w:val="none" w:sz="0" w:space="0" w:color="auto"/>
      </w:divBdr>
    </w:div>
    <w:div w:id="175577367">
      <w:bodyDiv w:val="1"/>
      <w:marLeft w:val="0"/>
      <w:marRight w:val="0"/>
      <w:marTop w:val="0"/>
      <w:marBottom w:val="0"/>
      <w:divBdr>
        <w:top w:val="none" w:sz="0" w:space="0" w:color="auto"/>
        <w:left w:val="none" w:sz="0" w:space="0" w:color="auto"/>
        <w:bottom w:val="none" w:sz="0" w:space="0" w:color="auto"/>
        <w:right w:val="none" w:sz="0" w:space="0" w:color="auto"/>
      </w:divBdr>
    </w:div>
    <w:div w:id="183204672">
      <w:bodyDiv w:val="1"/>
      <w:marLeft w:val="0"/>
      <w:marRight w:val="0"/>
      <w:marTop w:val="0"/>
      <w:marBottom w:val="0"/>
      <w:divBdr>
        <w:top w:val="none" w:sz="0" w:space="0" w:color="auto"/>
        <w:left w:val="none" w:sz="0" w:space="0" w:color="auto"/>
        <w:bottom w:val="none" w:sz="0" w:space="0" w:color="auto"/>
        <w:right w:val="none" w:sz="0" w:space="0" w:color="auto"/>
      </w:divBdr>
    </w:div>
    <w:div w:id="184710340">
      <w:bodyDiv w:val="1"/>
      <w:marLeft w:val="0"/>
      <w:marRight w:val="0"/>
      <w:marTop w:val="0"/>
      <w:marBottom w:val="0"/>
      <w:divBdr>
        <w:top w:val="none" w:sz="0" w:space="0" w:color="auto"/>
        <w:left w:val="none" w:sz="0" w:space="0" w:color="auto"/>
        <w:bottom w:val="none" w:sz="0" w:space="0" w:color="auto"/>
        <w:right w:val="none" w:sz="0" w:space="0" w:color="auto"/>
      </w:divBdr>
    </w:div>
    <w:div w:id="187066153">
      <w:bodyDiv w:val="1"/>
      <w:marLeft w:val="0"/>
      <w:marRight w:val="0"/>
      <w:marTop w:val="0"/>
      <w:marBottom w:val="0"/>
      <w:divBdr>
        <w:top w:val="none" w:sz="0" w:space="0" w:color="auto"/>
        <w:left w:val="none" w:sz="0" w:space="0" w:color="auto"/>
        <w:bottom w:val="none" w:sz="0" w:space="0" w:color="auto"/>
        <w:right w:val="none" w:sz="0" w:space="0" w:color="auto"/>
      </w:divBdr>
    </w:div>
    <w:div w:id="194536709">
      <w:bodyDiv w:val="1"/>
      <w:marLeft w:val="0"/>
      <w:marRight w:val="0"/>
      <w:marTop w:val="0"/>
      <w:marBottom w:val="0"/>
      <w:divBdr>
        <w:top w:val="none" w:sz="0" w:space="0" w:color="auto"/>
        <w:left w:val="none" w:sz="0" w:space="0" w:color="auto"/>
        <w:bottom w:val="none" w:sz="0" w:space="0" w:color="auto"/>
        <w:right w:val="none" w:sz="0" w:space="0" w:color="auto"/>
      </w:divBdr>
    </w:div>
    <w:div w:id="206114064">
      <w:bodyDiv w:val="1"/>
      <w:marLeft w:val="0"/>
      <w:marRight w:val="0"/>
      <w:marTop w:val="0"/>
      <w:marBottom w:val="0"/>
      <w:divBdr>
        <w:top w:val="none" w:sz="0" w:space="0" w:color="auto"/>
        <w:left w:val="none" w:sz="0" w:space="0" w:color="auto"/>
        <w:bottom w:val="none" w:sz="0" w:space="0" w:color="auto"/>
        <w:right w:val="none" w:sz="0" w:space="0" w:color="auto"/>
      </w:divBdr>
    </w:div>
    <w:div w:id="210503450">
      <w:bodyDiv w:val="1"/>
      <w:marLeft w:val="0"/>
      <w:marRight w:val="0"/>
      <w:marTop w:val="0"/>
      <w:marBottom w:val="0"/>
      <w:divBdr>
        <w:top w:val="none" w:sz="0" w:space="0" w:color="auto"/>
        <w:left w:val="none" w:sz="0" w:space="0" w:color="auto"/>
        <w:bottom w:val="none" w:sz="0" w:space="0" w:color="auto"/>
        <w:right w:val="none" w:sz="0" w:space="0" w:color="auto"/>
      </w:divBdr>
    </w:div>
    <w:div w:id="239221970">
      <w:bodyDiv w:val="1"/>
      <w:marLeft w:val="0"/>
      <w:marRight w:val="0"/>
      <w:marTop w:val="0"/>
      <w:marBottom w:val="0"/>
      <w:divBdr>
        <w:top w:val="none" w:sz="0" w:space="0" w:color="auto"/>
        <w:left w:val="none" w:sz="0" w:space="0" w:color="auto"/>
        <w:bottom w:val="none" w:sz="0" w:space="0" w:color="auto"/>
        <w:right w:val="none" w:sz="0" w:space="0" w:color="auto"/>
      </w:divBdr>
    </w:div>
    <w:div w:id="262955441">
      <w:bodyDiv w:val="1"/>
      <w:marLeft w:val="0"/>
      <w:marRight w:val="0"/>
      <w:marTop w:val="0"/>
      <w:marBottom w:val="0"/>
      <w:divBdr>
        <w:top w:val="none" w:sz="0" w:space="0" w:color="auto"/>
        <w:left w:val="none" w:sz="0" w:space="0" w:color="auto"/>
        <w:bottom w:val="none" w:sz="0" w:space="0" w:color="auto"/>
        <w:right w:val="none" w:sz="0" w:space="0" w:color="auto"/>
      </w:divBdr>
    </w:div>
    <w:div w:id="273489503">
      <w:bodyDiv w:val="1"/>
      <w:marLeft w:val="0"/>
      <w:marRight w:val="0"/>
      <w:marTop w:val="0"/>
      <w:marBottom w:val="0"/>
      <w:divBdr>
        <w:top w:val="none" w:sz="0" w:space="0" w:color="auto"/>
        <w:left w:val="none" w:sz="0" w:space="0" w:color="auto"/>
        <w:bottom w:val="none" w:sz="0" w:space="0" w:color="auto"/>
        <w:right w:val="none" w:sz="0" w:space="0" w:color="auto"/>
      </w:divBdr>
    </w:div>
    <w:div w:id="299581974">
      <w:bodyDiv w:val="1"/>
      <w:marLeft w:val="0"/>
      <w:marRight w:val="0"/>
      <w:marTop w:val="0"/>
      <w:marBottom w:val="0"/>
      <w:divBdr>
        <w:top w:val="none" w:sz="0" w:space="0" w:color="auto"/>
        <w:left w:val="none" w:sz="0" w:space="0" w:color="auto"/>
        <w:bottom w:val="none" w:sz="0" w:space="0" w:color="auto"/>
        <w:right w:val="none" w:sz="0" w:space="0" w:color="auto"/>
      </w:divBdr>
    </w:div>
    <w:div w:id="330836289">
      <w:bodyDiv w:val="1"/>
      <w:marLeft w:val="0"/>
      <w:marRight w:val="0"/>
      <w:marTop w:val="0"/>
      <w:marBottom w:val="0"/>
      <w:divBdr>
        <w:top w:val="none" w:sz="0" w:space="0" w:color="auto"/>
        <w:left w:val="none" w:sz="0" w:space="0" w:color="auto"/>
        <w:bottom w:val="none" w:sz="0" w:space="0" w:color="auto"/>
        <w:right w:val="none" w:sz="0" w:space="0" w:color="auto"/>
      </w:divBdr>
    </w:div>
    <w:div w:id="331302360">
      <w:bodyDiv w:val="1"/>
      <w:marLeft w:val="0"/>
      <w:marRight w:val="0"/>
      <w:marTop w:val="0"/>
      <w:marBottom w:val="0"/>
      <w:divBdr>
        <w:top w:val="none" w:sz="0" w:space="0" w:color="auto"/>
        <w:left w:val="none" w:sz="0" w:space="0" w:color="auto"/>
        <w:bottom w:val="none" w:sz="0" w:space="0" w:color="auto"/>
        <w:right w:val="none" w:sz="0" w:space="0" w:color="auto"/>
      </w:divBdr>
      <w:divsChild>
        <w:div w:id="998382017">
          <w:marLeft w:val="0"/>
          <w:marRight w:val="0"/>
          <w:marTop w:val="0"/>
          <w:marBottom w:val="0"/>
          <w:divBdr>
            <w:top w:val="none" w:sz="0" w:space="0" w:color="auto"/>
            <w:left w:val="none" w:sz="0" w:space="0" w:color="auto"/>
            <w:bottom w:val="none" w:sz="0" w:space="0" w:color="auto"/>
            <w:right w:val="none" w:sz="0" w:space="0" w:color="auto"/>
          </w:divBdr>
        </w:div>
      </w:divsChild>
    </w:div>
    <w:div w:id="345443800">
      <w:bodyDiv w:val="1"/>
      <w:marLeft w:val="0"/>
      <w:marRight w:val="0"/>
      <w:marTop w:val="0"/>
      <w:marBottom w:val="0"/>
      <w:divBdr>
        <w:top w:val="none" w:sz="0" w:space="0" w:color="auto"/>
        <w:left w:val="none" w:sz="0" w:space="0" w:color="auto"/>
        <w:bottom w:val="none" w:sz="0" w:space="0" w:color="auto"/>
        <w:right w:val="none" w:sz="0" w:space="0" w:color="auto"/>
      </w:divBdr>
    </w:div>
    <w:div w:id="353000767">
      <w:bodyDiv w:val="1"/>
      <w:marLeft w:val="0"/>
      <w:marRight w:val="0"/>
      <w:marTop w:val="0"/>
      <w:marBottom w:val="0"/>
      <w:divBdr>
        <w:top w:val="none" w:sz="0" w:space="0" w:color="auto"/>
        <w:left w:val="none" w:sz="0" w:space="0" w:color="auto"/>
        <w:bottom w:val="none" w:sz="0" w:space="0" w:color="auto"/>
        <w:right w:val="none" w:sz="0" w:space="0" w:color="auto"/>
      </w:divBdr>
    </w:div>
    <w:div w:id="381910735">
      <w:bodyDiv w:val="1"/>
      <w:marLeft w:val="0"/>
      <w:marRight w:val="0"/>
      <w:marTop w:val="0"/>
      <w:marBottom w:val="0"/>
      <w:divBdr>
        <w:top w:val="none" w:sz="0" w:space="0" w:color="auto"/>
        <w:left w:val="none" w:sz="0" w:space="0" w:color="auto"/>
        <w:bottom w:val="none" w:sz="0" w:space="0" w:color="auto"/>
        <w:right w:val="none" w:sz="0" w:space="0" w:color="auto"/>
      </w:divBdr>
    </w:div>
    <w:div w:id="394356255">
      <w:bodyDiv w:val="1"/>
      <w:marLeft w:val="0"/>
      <w:marRight w:val="0"/>
      <w:marTop w:val="0"/>
      <w:marBottom w:val="0"/>
      <w:divBdr>
        <w:top w:val="none" w:sz="0" w:space="0" w:color="auto"/>
        <w:left w:val="none" w:sz="0" w:space="0" w:color="auto"/>
        <w:bottom w:val="none" w:sz="0" w:space="0" w:color="auto"/>
        <w:right w:val="none" w:sz="0" w:space="0" w:color="auto"/>
      </w:divBdr>
      <w:divsChild>
        <w:div w:id="31879550">
          <w:marLeft w:val="0"/>
          <w:marRight w:val="0"/>
          <w:marTop w:val="0"/>
          <w:marBottom w:val="0"/>
          <w:divBdr>
            <w:top w:val="none" w:sz="0" w:space="0" w:color="auto"/>
            <w:left w:val="none" w:sz="0" w:space="0" w:color="auto"/>
            <w:bottom w:val="none" w:sz="0" w:space="0" w:color="auto"/>
            <w:right w:val="none" w:sz="0" w:space="0" w:color="auto"/>
          </w:divBdr>
        </w:div>
        <w:div w:id="364257453">
          <w:marLeft w:val="0"/>
          <w:marRight w:val="0"/>
          <w:marTop w:val="0"/>
          <w:marBottom w:val="0"/>
          <w:divBdr>
            <w:top w:val="none" w:sz="0" w:space="0" w:color="auto"/>
            <w:left w:val="none" w:sz="0" w:space="0" w:color="auto"/>
            <w:bottom w:val="none" w:sz="0" w:space="0" w:color="auto"/>
            <w:right w:val="none" w:sz="0" w:space="0" w:color="auto"/>
          </w:divBdr>
        </w:div>
        <w:div w:id="473715662">
          <w:marLeft w:val="0"/>
          <w:marRight w:val="0"/>
          <w:marTop w:val="0"/>
          <w:marBottom w:val="0"/>
          <w:divBdr>
            <w:top w:val="none" w:sz="0" w:space="0" w:color="auto"/>
            <w:left w:val="none" w:sz="0" w:space="0" w:color="auto"/>
            <w:bottom w:val="none" w:sz="0" w:space="0" w:color="auto"/>
            <w:right w:val="none" w:sz="0" w:space="0" w:color="auto"/>
          </w:divBdr>
        </w:div>
        <w:div w:id="629944310">
          <w:marLeft w:val="0"/>
          <w:marRight w:val="0"/>
          <w:marTop w:val="0"/>
          <w:marBottom w:val="0"/>
          <w:divBdr>
            <w:top w:val="none" w:sz="0" w:space="0" w:color="auto"/>
            <w:left w:val="none" w:sz="0" w:space="0" w:color="auto"/>
            <w:bottom w:val="none" w:sz="0" w:space="0" w:color="auto"/>
            <w:right w:val="none" w:sz="0" w:space="0" w:color="auto"/>
          </w:divBdr>
        </w:div>
        <w:div w:id="631136523">
          <w:marLeft w:val="0"/>
          <w:marRight w:val="0"/>
          <w:marTop w:val="0"/>
          <w:marBottom w:val="0"/>
          <w:divBdr>
            <w:top w:val="none" w:sz="0" w:space="0" w:color="auto"/>
            <w:left w:val="none" w:sz="0" w:space="0" w:color="auto"/>
            <w:bottom w:val="none" w:sz="0" w:space="0" w:color="auto"/>
            <w:right w:val="none" w:sz="0" w:space="0" w:color="auto"/>
          </w:divBdr>
        </w:div>
        <w:div w:id="683551999">
          <w:marLeft w:val="0"/>
          <w:marRight w:val="0"/>
          <w:marTop w:val="0"/>
          <w:marBottom w:val="0"/>
          <w:divBdr>
            <w:top w:val="none" w:sz="0" w:space="0" w:color="auto"/>
            <w:left w:val="none" w:sz="0" w:space="0" w:color="auto"/>
            <w:bottom w:val="none" w:sz="0" w:space="0" w:color="auto"/>
            <w:right w:val="none" w:sz="0" w:space="0" w:color="auto"/>
          </w:divBdr>
        </w:div>
        <w:div w:id="964972140">
          <w:marLeft w:val="0"/>
          <w:marRight w:val="0"/>
          <w:marTop w:val="0"/>
          <w:marBottom w:val="0"/>
          <w:divBdr>
            <w:top w:val="none" w:sz="0" w:space="0" w:color="auto"/>
            <w:left w:val="none" w:sz="0" w:space="0" w:color="auto"/>
            <w:bottom w:val="none" w:sz="0" w:space="0" w:color="auto"/>
            <w:right w:val="none" w:sz="0" w:space="0" w:color="auto"/>
          </w:divBdr>
        </w:div>
        <w:div w:id="1102846368">
          <w:marLeft w:val="0"/>
          <w:marRight w:val="0"/>
          <w:marTop w:val="0"/>
          <w:marBottom w:val="0"/>
          <w:divBdr>
            <w:top w:val="none" w:sz="0" w:space="0" w:color="auto"/>
            <w:left w:val="none" w:sz="0" w:space="0" w:color="auto"/>
            <w:bottom w:val="none" w:sz="0" w:space="0" w:color="auto"/>
            <w:right w:val="none" w:sz="0" w:space="0" w:color="auto"/>
          </w:divBdr>
        </w:div>
        <w:div w:id="1360739008">
          <w:marLeft w:val="0"/>
          <w:marRight w:val="0"/>
          <w:marTop w:val="0"/>
          <w:marBottom w:val="0"/>
          <w:divBdr>
            <w:top w:val="none" w:sz="0" w:space="0" w:color="auto"/>
            <w:left w:val="none" w:sz="0" w:space="0" w:color="auto"/>
            <w:bottom w:val="none" w:sz="0" w:space="0" w:color="auto"/>
            <w:right w:val="none" w:sz="0" w:space="0" w:color="auto"/>
          </w:divBdr>
        </w:div>
        <w:div w:id="1659261838">
          <w:marLeft w:val="0"/>
          <w:marRight w:val="0"/>
          <w:marTop w:val="0"/>
          <w:marBottom w:val="0"/>
          <w:divBdr>
            <w:top w:val="none" w:sz="0" w:space="0" w:color="auto"/>
            <w:left w:val="none" w:sz="0" w:space="0" w:color="auto"/>
            <w:bottom w:val="none" w:sz="0" w:space="0" w:color="auto"/>
            <w:right w:val="none" w:sz="0" w:space="0" w:color="auto"/>
          </w:divBdr>
          <w:divsChild>
            <w:div w:id="1551959540">
              <w:marLeft w:val="0"/>
              <w:marRight w:val="0"/>
              <w:marTop w:val="0"/>
              <w:marBottom w:val="0"/>
              <w:divBdr>
                <w:top w:val="none" w:sz="0" w:space="0" w:color="auto"/>
                <w:left w:val="none" w:sz="0" w:space="0" w:color="auto"/>
                <w:bottom w:val="none" w:sz="0" w:space="0" w:color="auto"/>
                <w:right w:val="none" w:sz="0" w:space="0" w:color="auto"/>
              </w:divBdr>
            </w:div>
            <w:div w:id="1970672604">
              <w:marLeft w:val="0"/>
              <w:marRight w:val="0"/>
              <w:marTop w:val="0"/>
              <w:marBottom w:val="0"/>
              <w:divBdr>
                <w:top w:val="none" w:sz="0" w:space="0" w:color="auto"/>
                <w:left w:val="none" w:sz="0" w:space="0" w:color="auto"/>
                <w:bottom w:val="none" w:sz="0" w:space="0" w:color="auto"/>
                <w:right w:val="none" w:sz="0" w:space="0" w:color="auto"/>
              </w:divBdr>
            </w:div>
          </w:divsChild>
        </w:div>
        <w:div w:id="1952661861">
          <w:marLeft w:val="0"/>
          <w:marRight w:val="0"/>
          <w:marTop w:val="0"/>
          <w:marBottom w:val="0"/>
          <w:divBdr>
            <w:top w:val="none" w:sz="0" w:space="0" w:color="auto"/>
            <w:left w:val="none" w:sz="0" w:space="0" w:color="auto"/>
            <w:bottom w:val="none" w:sz="0" w:space="0" w:color="auto"/>
            <w:right w:val="none" w:sz="0" w:space="0" w:color="auto"/>
          </w:divBdr>
        </w:div>
        <w:div w:id="2097240386">
          <w:marLeft w:val="0"/>
          <w:marRight w:val="0"/>
          <w:marTop w:val="0"/>
          <w:marBottom w:val="0"/>
          <w:divBdr>
            <w:top w:val="none" w:sz="0" w:space="0" w:color="auto"/>
            <w:left w:val="none" w:sz="0" w:space="0" w:color="auto"/>
            <w:bottom w:val="none" w:sz="0" w:space="0" w:color="auto"/>
            <w:right w:val="none" w:sz="0" w:space="0" w:color="auto"/>
          </w:divBdr>
        </w:div>
      </w:divsChild>
    </w:div>
    <w:div w:id="408698526">
      <w:bodyDiv w:val="1"/>
      <w:marLeft w:val="0"/>
      <w:marRight w:val="0"/>
      <w:marTop w:val="0"/>
      <w:marBottom w:val="0"/>
      <w:divBdr>
        <w:top w:val="none" w:sz="0" w:space="0" w:color="auto"/>
        <w:left w:val="none" w:sz="0" w:space="0" w:color="auto"/>
        <w:bottom w:val="none" w:sz="0" w:space="0" w:color="auto"/>
        <w:right w:val="none" w:sz="0" w:space="0" w:color="auto"/>
      </w:divBdr>
    </w:div>
    <w:div w:id="420952799">
      <w:bodyDiv w:val="1"/>
      <w:marLeft w:val="0"/>
      <w:marRight w:val="0"/>
      <w:marTop w:val="0"/>
      <w:marBottom w:val="0"/>
      <w:divBdr>
        <w:top w:val="none" w:sz="0" w:space="0" w:color="auto"/>
        <w:left w:val="none" w:sz="0" w:space="0" w:color="auto"/>
        <w:bottom w:val="none" w:sz="0" w:space="0" w:color="auto"/>
        <w:right w:val="none" w:sz="0" w:space="0" w:color="auto"/>
      </w:divBdr>
    </w:div>
    <w:div w:id="427233895">
      <w:bodyDiv w:val="1"/>
      <w:marLeft w:val="0"/>
      <w:marRight w:val="0"/>
      <w:marTop w:val="0"/>
      <w:marBottom w:val="0"/>
      <w:divBdr>
        <w:top w:val="none" w:sz="0" w:space="0" w:color="auto"/>
        <w:left w:val="none" w:sz="0" w:space="0" w:color="auto"/>
        <w:bottom w:val="none" w:sz="0" w:space="0" w:color="auto"/>
        <w:right w:val="none" w:sz="0" w:space="0" w:color="auto"/>
      </w:divBdr>
    </w:div>
    <w:div w:id="429813198">
      <w:bodyDiv w:val="1"/>
      <w:marLeft w:val="0"/>
      <w:marRight w:val="0"/>
      <w:marTop w:val="0"/>
      <w:marBottom w:val="0"/>
      <w:divBdr>
        <w:top w:val="none" w:sz="0" w:space="0" w:color="auto"/>
        <w:left w:val="none" w:sz="0" w:space="0" w:color="auto"/>
        <w:bottom w:val="none" w:sz="0" w:space="0" w:color="auto"/>
        <w:right w:val="none" w:sz="0" w:space="0" w:color="auto"/>
      </w:divBdr>
    </w:div>
    <w:div w:id="441415864">
      <w:bodyDiv w:val="1"/>
      <w:marLeft w:val="0"/>
      <w:marRight w:val="0"/>
      <w:marTop w:val="0"/>
      <w:marBottom w:val="0"/>
      <w:divBdr>
        <w:top w:val="none" w:sz="0" w:space="0" w:color="auto"/>
        <w:left w:val="none" w:sz="0" w:space="0" w:color="auto"/>
        <w:bottom w:val="none" w:sz="0" w:space="0" w:color="auto"/>
        <w:right w:val="none" w:sz="0" w:space="0" w:color="auto"/>
      </w:divBdr>
    </w:div>
    <w:div w:id="485977078">
      <w:bodyDiv w:val="1"/>
      <w:marLeft w:val="0"/>
      <w:marRight w:val="0"/>
      <w:marTop w:val="0"/>
      <w:marBottom w:val="0"/>
      <w:divBdr>
        <w:top w:val="none" w:sz="0" w:space="0" w:color="auto"/>
        <w:left w:val="none" w:sz="0" w:space="0" w:color="auto"/>
        <w:bottom w:val="none" w:sz="0" w:space="0" w:color="auto"/>
        <w:right w:val="none" w:sz="0" w:space="0" w:color="auto"/>
      </w:divBdr>
    </w:div>
    <w:div w:id="510032192">
      <w:bodyDiv w:val="1"/>
      <w:marLeft w:val="0"/>
      <w:marRight w:val="0"/>
      <w:marTop w:val="0"/>
      <w:marBottom w:val="0"/>
      <w:divBdr>
        <w:top w:val="none" w:sz="0" w:space="0" w:color="auto"/>
        <w:left w:val="none" w:sz="0" w:space="0" w:color="auto"/>
        <w:bottom w:val="none" w:sz="0" w:space="0" w:color="auto"/>
        <w:right w:val="none" w:sz="0" w:space="0" w:color="auto"/>
      </w:divBdr>
    </w:div>
    <w:div w:id="520126184">
      <w:bodyDiv w:val="1"/>
      <w:marLeft w:val="0"/>
      <w:marRight w:val="0"/>
      <w:marTop w:val="0"/>
      <w:marBottom w:val="0"/>
      <w:divBdr>
        <w:top w:val="none" w:sz="0" w:space="0" w:color="auto"/>
        <w:left w:val="none" w:sz="0" w:space="0" w:color="auto"/>
        <w:bottom w:val="none" w:sz="0" w:space="0" w:color="auto"/>
        <w:right w:val="none" w:sz="0" w:space="0" w:color="auto"/>
      </w:divBdr>
    </w:div>
    <w:div w:id="520164819">
      <w:bodyDiv w:val="1"/>
      <w:marLeft w:val="0"/>
      <w:marRight w:val="0"/>
      <w:marTop w:val="0"/>
      <w:marBottom w:val="0"/>
      <w:divBdr>
        <w:top w:val="none" w:sz="0" w:space="0" w:color="auto"/>
        <w:left w:val="none" w:sz="0" w:space="0" w:color="auto"/>
        <w:bottom w:val="none" w:sz="0" w:space="0" w:color="auto"/>
        <w:right w:val="none" w:sz="0" w:space="0" w:color="auto"/>
      </w:divBdr>
    </w:div>
    <w:div w:id="530344509">
      <w:bodyDiv w:val="1"/>
      <w:marLeft w:val="0"/>
      <w:marRight w:val="0"/>
      <w:marTop w:val="0"/>
      <w:marBottom w:val="0"/>
      <w:divBdr>
        <w:top w:val="none" w:sz="0" w:space="0" w:color="auto"/>
        <w:left w:val="none" w:sz="0" w:space="0" w:color="auto"/>
        <w:bottom w:val="none" w:sz="0" w:space="0" w:color="auto"/>
        <w:right w:val="none" w:sz="0" w:space="0" w:color="auto"/>
      </w:divBdr>
    </w:div>
    <w:div w:id="532036751">
      <w:bodyDiv w:val="1"/>
      <w:marLeft w:val="0"/>
      <w:marRight w:val="0"/>
      <w:marTop w:val="0"/>
      <w:marBottom w:val="0"/>
      <w:divBdr>
        <w:top w:val="none" w:sz="0" w:space="0" w:color="auto"/>
        <w:left w:val="none" w:sz="0" w:space="0" w:color="auto"/>
        <w:bottom w:val="none" w:sz="0" w:space="0" w:color="auto"/>
        <w:right w:val="none" w:sz="0" w:space="0" w:color="auto"/>
      </w:divBdr>
    </w:div>
    <w:div w:id="539780570">
      <w:bodyDiv w:val="1"/>
      <w:marLeft w:val="0"/>
      <w:marRight w:val="0"/>
      <w:marTop w:val="0"/>
      <w:marBottom w:val="0"/>
      <w:divBdr>
        <w:top w:val="none" w:sz="0" w:space="0" w:color="auto"/>
        <w:left w:val="none" w:sz="0" w:space="0" w:color="auto"/>
        <w:bottom w:val="none" w:sz="0" w:space="0" w:color="auto"/>
        <w:right w:val="none" w:sz="0" w:space="0" w:color="auto"/>
      </w:divBdr>
    </w:div>
    <w:div w:id="543753814">
      <w:bodyDiv w:val="1"/>
      <w:marLeft w:val="0"/>
      <w:marRight w:val="0"/>
      <w:marTop w:val="0"/>
      <w:marBottom w:val="0"/>
      <w:divBdr>
        <w:top w:val="none" w:sz="0" w:space="0" w:color="auto"/>
        <w:left w:val="none" w:sz="0" w:space="0" w:color="auto"/>
        <w:bottom w:val="none" w:sz="0" w:space="0" w:color="auto"/>
        <w:right w:val="none" w:sz="0" w:space="0" w:color="auto"/>
      </w:divBdr>
    </w:div>
    <w:div w:id="573051020">
      <w:bodyDiv w:val="1"/>
      <w:marLeft w:val="0"/>
      <w:marRight w:val="0"/>
      <w:marTop w:val="0"/>
      <w:marBottom w:val="0"/>
      <w:divBdr>
        <w:top w:val="none" w:sz="0" w:space="0" w:color="auto"/>
        <w:left w:val="none" w:sz="0" w:space="0" w:color="auto"/>
        <w:bottom w:val="none" w:sz="0" w:space="0" w:color="auto"/>
        <w:right w:val="none" w:sz="0" w:space="0" w:color="auto"/>
      </w:divBdr>
    </w:div>
    <w:div w:id="574557906">
      <w:bodyDiv w:val="1"/>
      <w:marLeft w:val="0"/>
      <w:marRight w:val="0"/>
      <w:marTop w:val="0"/>
      <w:marBottom w:val="0"/>
      <w:divBdr>
        <w:top w:val="none" w:sz="0" w:space="0" w:color="auto"/>
        <w:left w:val="none" w:sz="0" w:space="0" w:color="auto"/>
        <w:bottom w:val="none" w:sz="0" w:space="0" w:color="auto"/>
        <w:right w:val="none" w:sz="0" w:space="0" w:color="auto"/>
      </w:divBdr>
    </w:div>
    <w:div w:id="611665098">
      <w:bodyDiv w:val="1"/>
      <w:marLeft w:val="0"/>
      <w:marRight w:val="0"/>
      <w:marTop w:val="0"/>
      <w:marBottom w:val="0"/>
      <w:divBdr>
        <w:top w:val="none" w:sz="0" w:space="0" w:color="auto"/>
        <w:left w:val="none" w:sz="0" w:space="0" w:color="auto"/>
        <w:bottom w:val="none" w:sz="0" w:space="0" w:color="auto"/>
        <w:right w:val="none" w:sz="0" w:space="0" w:color="auto"/>
      </w:divBdr>
    </w:div>
    <w:div w:id="615410347">
      <w:bodyDiv w:val="1"/>
      <w:marLeft w:val="0"/>
      <w:marRight w:val="0"/>
      <w:marTop w:val="0"/>
      <w:marBottom w:val="0"/>
      <w:divBdr>
        <w:top w:val="none" w:sz="0" w:space="0" w:color="auto"/>
        <w:left w:val="none" w:sz="0" w:space="0" w:color="auto"/>
        <w:bottom w:val="none" w:sz="0" w:space="0" w:color="auto"/>
        <w:right w:val="none" w:sz="0" w:space="0" w:color="auto"/>
      </w:divBdr>
    </w:div>
    <w:div w:id="637955544">
      <w:bodyDiv w:val="1"/>
      <w:marLeft w:val="0"/>
      <w:marRight w:val="0"/>
      <w:marTop w:val="0"/>
      <w:marBottom w:val="0"/>
      <w:divBdr>
        <w:top w:val="none" w:sz="0" w:space="0" w:color="auto"/>
        <w:left w:val="none" w:sz="0" w:space="0" w:color="auto"/>
        <w:bottom w:val="none" w:sz="0" w:space="0" w:color="auto"/>
        <w:right w:val="none" w:sz="0" w:space="0" w:color="auto"/>
      </w:divBdr>
    </w:div>
    <w:div w:id="645201976">
      <w:bodyDiv w:val="1"/>
      <w:marLeft w:val="0"/>
      <w:marRight w:val="0"/>
      <w:marTop w:val="0"/>
      <w:marBottom w:val="0"/>
      <w:divBdr>
        <w:top w:val="none" w:sz="0" w:space="0" w:color="auto"/>
        <w:left w:val="none" w:sz="0" w:space="0" w:color="auto"/>
        <w:bottom w:val="none" w:sz="0" w:space="0" w:color="auto"/>
        <w:right w:val="none" w:sz="0" w:space="0" w:color="auto"/>
      </w:divBdr>
    </w:div>
    <w:div w:id="650866352">
      <w:bodyDiv w:val="1"/>
      <w:marLeft w:val="0"/>
      <w:marRight w:val="0"/>
      <w:marTop w:val="0"/>
      <w:marBottom w:val="0"/>
      <w:divBdr>
        <w:top w:val="none" w:sz="0" w:space="0" w:color="auto"/>
        <w:left w:val="none" w:sz="0" w:space="0" w:color="auto"/>
        <w:bottom w:val="none" w:sz="0" w:space="0" w:color="auto"/>
        <w:right w:val="none" w:sz="0" w:space="0" w:color="auto"/>
      </w:divBdr>
    </w:div>
    <w:div w:id="661393481">
      <w:bodyDiv w:val="1"/>
      <w:marLeft w:val="0"/>
      <w:marRight w:val="0"/>
      <w:marTop w:val="0"/>
      <w:marBottom w:val="0"/>
      <w:divBdr>
        <w:top w:val="none" w:sz="0" w:space="0" w:color="auto"/>
        <w:left w:val="none" w:sz="0" w:space="0" w:color="auto"/>
        <w:bottom w:val="none" w:sz="0" w:space="0" w:color="auto"/>
        <w:right w:val="none" w:sz="0" w:space="0" w:color="auto"/>
      </w:divBdr>
    </w:div>
    <w:div w:id="682972543">
      <w:bodyDiv w:val="1"/>
      <w:marLeft w:val="0"/>
      <w:marRight w:val="0"/>
      <w:marTop w:val="0"/>
      <w:marBottom w:val="0"/>
      <w:divBdr>
        <w:top w:val="none" w:sz="0" w:space="0" w:color="auto"/>
        <w:left w:val="none" w:sz="0" w:space="0" w:color="auto"/>
        <w:bottom w:val="none" w:sz="0" w:space="0" w:color="auto"/>
        <w:right w:val="none" w:sz="0" w:space="0" w:color="auto"/>
      </w:divBdr>
    </w:div>
    <w:div w:id="687680410">
      <w:bodyDiv w:val="1"/>
      <w:marLeft w:val="0"/>
      <w:marRight w:val="0"/>
      <w:marTop w:val="0"/>
      <w:marBottom w:val="0"/>
      <w:divBdr>
        <w:top w:val="none" w:sz="0" w:space="0" w:color="auto"/>
        <w:left w:val="none" w:sz="0" w:space="0" w:color="auto"/>
        <w:bottom w:val="none" w:sz="0" w:space="0" w:color="auto"/>
        <w:right w:val="none" w:sz="0" w:space="0" w:color="auto"/>
      </w:divBdr>
    </w:div>
    <w:div w:id="699009092">
      <w:bodyDiv w:val="1"/>
      <w:marLeft w:val="0"/>
      <w:marRight w:val="0"/>
      <w:marTop w:val="0"/>
      <w:marBottom w:val="0"/>
      <w:divBdr>
        <w:top w:val="none" w:sz="0" w:space="0" w:color="auto"/>
        <w:left w:val="none" w:sz="0" w:space="0" w:color="auto"/>
        <w:bottom w:val="none" w:sz="0" w:space="0" w:color="auto"/>
        <w:right w:val="none" w:sz="0" w:space="0" w:color="auto"/>
      </w:divBdr>
    </w:div>
    <w:div w:id="704595360">
      <w:bodyDiv w:val="1"/>
      <w:marLeft w:val="0"/>
      <w:marRight w:val="0"/>
      <w:marTop w:val="0"/>
      <w:marBottom w:val="0"/>
      <w:divBdr>
        <w:top w:val="none" w:sz="0" w:space="0" w:color="auto"/>
        <w:left w:val="none" w:sz="0" w:space="0" w:color="auto"/>
        <w:bottom w:val="none" w:sz="0" w:space="0" w:color="auto"/>
        <w:right w:val="none" w:sz="0" w:space="0" w:color="auto"/>
      </w:divBdr>
    </w:div>
    <w:div w:id="712384063">
      <w:bodyDiv w:val="1"/>
      <w:marLeft w:val="0"/>
      <w:marRight w:val="0"/>
      <w:marTop w:val="0"/>
      <w:marBottom w:val="0"/>
      <w:divBdr>
        <w:top w:val="none" w:sz="0" w:space="0" w:color="auto"/>
        <w:left w:val="none" w:sz="0" w:space="0" w:color="auto"/>
        <w:bottom w:val="none" w:sz="0" w:space="0" w:color="auto"/>
        <w:right w:val="none" w:sz="0" w:space="0" w:color="auto"/>
      </w:divBdr>
    </w:div>
    <w:div w:id="714936081">
      <w:bodyDiv w:val="1"/>
      <w:marLeft w:val="0"/>
      <w:marRight w:val="0"/>
      <w:marTop w:val="0"/>
      <w:marBottom w:val="0"/>
      <w:divBdr>
        <w:top w:val="none" w:sz="0" w:space="0" w:color="auto"/>
        <w:left w:val="none" w:sz="0" w:space="0" w:color="auto"/>
        <w:bottom w:val="none" w:sz="0" w:space="0" w:color="auto"/>
        <w:right w:val="none" w:sz="0" w:space="0" w:color="auto"/>
      </w:divBdr>
    </w:div>
    <w:div w:id="716710358">
      <w:bodyDiv w:val="1"/>
      <w:marLeft w:val="0"/>
      <w:marRight w:val="0"/>
      <w:marTop w:val="0"/>
      <w:marBottom w:val="0"/>
      <w:divBdr>
        <w:top w:val="none" w:sz="0" w:space="0" w:color="auto"/>
        <w:left w:val="none" w:sz="0" w:space="0" w:color="auto"/>
        <w:bottom w:val="none" w:sz="0" w:space="0" w:color="auto"/>
        <w:right w:val="none" w:sz="0" w:space="0" w:color="auto"/>
      </w:divBdr>
    </w:div>
    <w:div w:id="738208931">
      <w:bodyDiv w:val="1"/>
      <w:marLeft w:val="0"/>
      <w:marRight w:val="0"/>
      <w:marTop w:val="0"/>
      <w:marBottom w:val="0"/>
      <w:divBdr>
        <w:top w:val="none" w:sz="0" w:space="0" w:color="auto"/>
        <w:left w:val="none" w:sz="0" w:space="0" w:color="auto"/>
        <w:bottom w:val="none" w:sz="0" w:space="0" w:color="auto"/>
        <w:right w:val="none" w:sz="0" w:space="0" w:color="auto"/>
      </w:divBdr>
    </w:div>
    <w:div w:id="744378758">
      <w:bodyDiv w:val="1"/>
      <w:marLeft w:val="0"/>
      <w:marRight w:val="0"/>
      <w:marTop w:val="0"/>
      <w:marBottom w:val="0"/>
      <w:divBdr>
        <w:top w:val="none" w:sz="0" w:space="0" w:color="auto"/>
        <w:left w:val="none" w:sz="0" w:space="0" w:color="auto"/>
        <w:bottom w:val="none" w:sz="0" w:space="0" w:color="auto"/>
        <w:right w:val="none" w:sz="0" w:space="0" w:color="auto"/>
      </w:divBdr>
    </w:div>
    <w:div w:id="763501707">
      <w:bodyDiv w:val="1"/>
      <w:marLeft w:val="0"/>
      <w:marRight w:val="0"/>
      <w:marTop w:val="0"/>
      <w:marBottom w:val="0"/>
      <w:divBdr>
        <w:top w:val="none" w:sz="0" w:space="0" w:color="auto"/>
        <w:left w:val="none" w:sz="0" w:space="0" w:color="auto"/>
        <w:bottom w:val="none" w:sz="0" w:space="0" w:color="auto"/>
        <w:right w:val="none" w:sz="0" w:space="0" w:color="auto"/>
      </w:divBdr>
    </w:div>
    <w:div w:id="766072196">
      <w:bodyDiv w:val="1"/>
      <w:marLeft w:val="0"/>
      <w:marRight w:val="0"/>
      <w:marTop w:val="0"/>
      <w:marBottom w:val="0"/>
      <w:divBdr>
        <w:top w:val="none" w:sz="0" w:space="0" w:color="auto"/>
        <w:left w:val="none" w:sz="0" w:space="0" w:color="auto"/>
        <w:bottom w:val="none" w:sz="0" w:space="0" w:color="auto"/>
        <w:right w:val="none" w:sz="0" w:space="0" w:color="auto"/>
      </w:divBdr>
    </w:div>
    <w:div w:id="782768860">
      <w:bodyDiv w:val="1"/>
      <w:marLeft w:val="0"/>
      <w:marRight w:val="0"/>
      <w:marTop w:val="0"/>
      <w:marBottom w:val="0"/>
      <w:divBdr>
        <w:top w:val="none" w:sz="0" w:space="0" w:color="auto"/>
        <w:left w:val="none" w:sz="0" w:space="0" w:color="auto"/>
        <w:bottom w:val="none" w:sz="0" w:space="0" w:color="auto"/>
        <w:right w:val="none" w:sz="0" w:space="0" w:color="auto"/>
      </w:divBdr>
    </w:div>
    <w:div w:id="784887092">
      <w:bodyDiv w:val="1"/>
      <w:marLeft w:val="0"/>
      <w:marRight w:val="0"/>
      <w:marTop w:val="0"/>
      <w:marBottom w:val="0"/>
      <w:divBdr>
        <w:top w:val="none" w:sz="0" w:space="0" w:color="auto"/>
        <w:left w:val="none" w:sz="0" w:space="0" w:color="auto"/>
        <w:bottom w:val="none" w:sz="0" w:space="0" w:color="auto"/>
        <w:right w:val="none" w:sz="0" w:space="0" w:color="auto"/>
      </w:divBdr>
    </w:div>
    <w:div w:id="797719004">
      <w:bodyDiv w:val="1"/>
      <w:marLeft w:val="0"/>
      <w:marRight w:val="0"/>
      <w:marTop w:val="0"/>
      <w:marBottom w:val="0"/>
      <w:divBdr>
        <w:top w:val="none" w:sz="0" w:space="0" w:color="auto"/>
        <w:left w:val="none" w:sz="0" w:space="0" w:color="auto"/>
        <w:bottom w:val="none" w:sz="0" w:space="0" w:color="auto"/>
        <w:right w:val="none" w:sz="0" w:space="0" w:color="auto"/>
      </w:divBdr>
    </w:div>
    <w:div w:id="800225955">
      <w:bodyDiv w:val="1"/>
      <w:marLeft w:val="0"/>
      <w:marRight w:val="0"/>
      <w:marTop w:val="0"/>
      <w:marBottom w:val="0"/>
      <w:divBdr>
        <w:top w:val="none" w:sz="0" w:space="0" w:color="auto"/>
        <w:left w:val="none" w:sz="0" w:space="0" w:color="auto"/>
        <w:bottom w:val="none" w:sz="0" w:space="0" w:color="auto"/>
        <w:right w:val="none" w:sz="0" w:space="0" w:color="auto"/>
      </w:divBdr>
    </w:div>
    <w:div w:id="802380896">
      <w:bodyDiv w:val="1"/>
      <w:marLeft w:val="0"/>
      <w:marRight w:val="0"/>
      <w:marTop w:val="0"/>
      <w:marBottom w:val="0"/>
      <w:divBdr>
        <w:top w:val="none" w:sz="0" w:space="0" w:color="auto"/>
        <w:left w:val="none" w:sz="0" w:space="0" w:color="auto"/>
        <w:bottom w:val="none" w:sz="0" w:space="0" w:color="auto"/>
        <w:right w:val="none" w:sz="0" w:space="0" w:color="auto"/>
      </w:divBdr>
    </w:div>
    <w:div w:id="847137155">
      <w:bodyDiv w:val="1"/>
      <w:marLeft w:val="0"/>
      <w:marRight w:val="0"/>
      <w:marTop w:val="0"/>
      <w:marBottom w:val="0"/>
      <w:divBdr>
        <w:top w:val="none" w:sz="0" w:space="0" w:color="auto"/>
        <w:left w:val="none" w:sz="0" w:space="0" w:color="auto"/>
        <w:bottom w:val="none" w:sz="0" w:space="0" w:color="auto"/>
        <w:right w:val="none" w:sz="0" w:space="0" w:color="auto"/>
      </w:divBdr>
    </w:div>
    <w:div w:id="884373193">
      <w:bodyDiv w:val="1"/>
      <w:marLeft w:val="0"/>
      <w:marRight w:val="0"/>
      <w:marTop w:val="0"/>
      <w:marBottom w:val="0"/>
      <w:divBdr>
        <w:top w:val="none" w:sz="0" w:space="0" w:color="auto"/>
        <w:left w:val="none" w:sz="0" w:space="0" w:color="auto"/>
        <w:bottom w:val="none" w:sz="0" w:space="0" w:color="auto"/>
        <w:right w:val="none" w:sz="0" w:space="0" w:color="auto"/>
      </w:divBdr>
    </w:div>
    <w:div w:id="884946876">
      <w:bodyDiv w:val="1"/>
      <w:marLeft w:val="0"/>
      <w:marRight w:val="0"/>
      <w:marTop w:val="0"/>
      <w:marBottom w:val="0"/>
      <w:divBdr>
        <w:top w:val="none" w:sz="0" w:space="0" w:color="auto"/>
        <w:left w:val="none" w:sz="0" w:space="0" w:color="auto"/>
        <w:bottom w:val="none" w:sz="0" w:space="0" w:color="auto"/>
        <w:right w:val="none" w:sz="0" w:space="0" w:color="auto"/>
      </w:divBdr>
    </w:div>
    <w:div w:id="889657514">
      <w:bodyDiv w:val="1"/>
      <w:marLeft w:val="0"/>
      <w:marRight w:val="0"/>
      <w:marTop w:val="0"/>
      <w:marBottom w:val="0"/>
      <w:divBdr>
        <w:top w:val="none" w:sz="0" w:space="0" w:color="auto"/>
        <w:left w:val="none" w:sz="0" w:space="0" w:color="auto"/>
        <w:bottom w:val="none" w:sz="0" w:space="0" w:color="auto"/>
        <w:right w:val="none" w:sz="0" w:space="0" w:color="auto"/>
      </w:divBdr>
    </w:div>
    <w:div w:id="951941185">
      <w:bodyDiv w:val="1"/>
      <w:marLeft w:val="0"/>
      <w:marRight w:val="0"/>
      <w:marTop w:val="0"/>
      <w:marBottom w:val="0"/>
      <w:divBdr>
        <w:top w:val="none" w:sz="0" w:space="0" w:color="auto"/>
        <w:left w:val="none" w:sz="0" w:space="0" w:color="auto"/>
        <w:bottom w:val="none" w:sz="0" w:space="0" w:color="auto"/>
        <w:right w:val="none" w:sz="0" w:space="0" w:color="auto"/>
      </w:divBdr>
    </w:div>
    <w:div w:id="953945051">
      <w:bodyDiv w:val="1"/>
      <w:marLeft w:val="0"/>
      <w:marRight w:val="0"/>
      <w:marTop w:val="0"/>
      <w:marBottom w:val="0"/>
      <w:divBdr>
        <w:top w:val="none" w:sz="0" w:space="0" w:color="auto"/>
        <w:left w:val="none" w:sz="0" w:space="0" w:color="auto"/>
        <w:bottom w:val="none" w:sz="0" w:space="0" w:color="auto"/>
        <w:right w:val="none" w:sz="0" w:space="0" w:color="auto"/>
      </w:divBdr>
    </w:div>
    <w:div w:id="967472629">
      <w:bodyDiv w:val="1"/>
      <w:marLeft w:val="0"/>
      <w:marRight w:val="0"/>
      <w:marTop w:val="0"/>
      <w:marBottom w:val="0"/>
      <w:divBdr>
        <w:top w:val="none" w:sz="0" w:space="0" w:color="auto"/>
        <w:left w:val="none" w:sz="0" w:space="0" w:color="auto"/>
        <w:bottom w:val="none" w:sz="0" w:space="0" w:color="auto"/>
        <w:right w:val="none" w:sz="0" w:space="0" w:color="auto"/>
      </w:divBdr>
    </w:div>
    <w:div w:id="969744863">
      <w:bodyDiv w:val="1"/>
      <w:marLeft w:val="0"/>
      <w:marRight w:val="0"/>
      <w:marTop w:val="0"/>
      <w:marBottom w:val="0"/>
      <w:divBdr>
        <w:top w:val="none" w:sz="0" w:space="0" w:color="auto"/>
        <w:left w:val="none" w:sz="0" w:space="0" w:color="auto"/>
        <w:bottom w:val="none" w:sz="0" w:space="0" w:color="auto"/>
        <w:right w:val="none" w:sz="0" w:space="0" w:color="auto"/>
      </w:divBdr>
    </w:div>
    <w:div w:id="977883564">
      <w:bodyDiv w:val="1"/>
      <w:marLeft w:val="0"/>
      <w:marRight w:val="0"/>
      <w:marTop w:val="0"/>
      <w:marBottom w:val="0"/>
      <w:divBdr>
        <w:top w:val="none" w:sz="0" w:space="0" w:color="auto"/>
        <w:left w:val="none" w:sz="0" w:space="0" w:color="auto"/>
        <w:bottom w:val="none" w:sz="0" w:space="0" w:color="auto"/>
        <w:right w:val="none" w:sz="0" w:space="0" w:color="auto"/>
      </w:divBdr>
      <w:divsChild>
        <w:div w:id="817651043">
          <w:marLeft w:val="0"/>
          <w:marRight w:val="0"/>
          <w:marTop w:val="0"/>
          <w:marBottom w:val="0"/>
          <w:divBdr>
            <w:top w:val="none" w:sz="0" w:space="0" w:color="auto"/>
            <w:left w:val="none" w:sz="0" w:space="0" w:color="auto"/>
            <w:bottom w:val="none" w:sz="0" w:space="0" w:color="auto"/>
            <w:right w:val="none" w:sz="0" w:space="0" w:color="auto"/>
          </w:divBdr>
        </w:div>
        <w:div w:id="1109659797">
          <w:marLeft w:val="0"/>
          <w:marRight w:val="0"/>
          <w:marTop w:val="0"/>
          <w:marBottom w:val="0"/>
          <w:divBdr>
            <w:top w:val="none" w:sz="0" w:space="0" w:color="auto"/>
            <w:left w:val="none" w:sz="0" w:space="0" w:color="auto"/>
            <w:bottom w:val="none" w:sz="0" w:space="0" w:color="auto"/>
            <w:right w:val="none" w:sz="0" w:space="0" w:color="auto"/>
          </w:divBdr>
        </w:div>
      </w:divsChild>
    </w:div>
    <w:div w:id="1003896442">
      <w:bodyDiv w:val="1"/>
      <w:marLeft w:val="0"/>
      <w:marRight w:val="0"/>
      <w:marTop w:val="0"/>
      <w:marBottom w:val="0"/>
      <w:divBdr>
        <w:top w:val="none" w:sz="0" w:space="0" w:color="auto"/>
        <w:left w:val="none" w:sz="0" w:space="0" w:color="auto"/>
        <w:bottom w:val="none" w:sz="0" w:space="0" w:color="auto"/>
        <w:right w:val="none" w:sz="0" w:space="0" w:color="auto"/>
      </w:divBdr>
    </w:div>
    <w:div w:id="1004286444">
      <w:bodyDiv w:val="1"/>
      <w:marLeft w:val="0"/>
      <w:marRight w:val="0"/>
      <w:marTop w:val="0"/>
      <w:marBottom w:val="0"/>
      <w:divBdr>
        <w:top w:val="none" w:sz="0" w:space="0" w:color="auto"/>
        <w:left w:val="none" w:sz="0" w:space="0" w:color="auto"/>
        <w:bottom w:val="none" w:sz="0" w:space="0" w:color="auto"/>
        <w:right w:val="none" w:sz="0" w:space="0" w:color="auto"/>
      </w:divBdr>
    </w:div>
    <w:div w:id="1011371152">
      <w:bodyDiv w:val="1"/>
      <w:marLeft w:val="0"/>
      <w:marRight w:val="0"/>
      <w:marTop w:val="0"/>
      <w:marBottom w:val="0"/>
      <w:divBdr>
        <w:top w:val="none" w:sz="0" w:space="0" w:color="auto"/>
        <w:left w:val="none" w:sz="0" w:space="0" w:color="auto"/>
        <w:bottom w:val="none" w:sz="0" w:space="0" w:color="auto"/>
        <w:right w:val="none" w:sz="0" w:space="0" w:color="auto"/>
      </w:divBdr>
    </w:div>
    <w:div w:id="1022438567">
      <w:bodyDiv w:val="1"/>
      <w:marLeft w:val="0"/>
      <w:marRight w:val="0"/>
      <w:marTop w:val="0"/>
      <w:marBottom w:val="0"/>
      <w:divBdr>
        <w:top w:val="none" w:sz="0" w:space="0" w:color="auto"/>
        <w:left w:val="none" w:sz="0" w:space="0" w:color="auto"/>
        <w:bottom w:val="none" w:sz="0" w:space="0" w:color="auto"/>
        <w:right w:val="none" w:sz="0" w:space="0" w:color="auto"/>
      </w:divBdr>
    </w:div>
    <w:div w:id="1056585142">
      <w:bodyDiv w:val="1"/>
      <w:marLeft w:val="0"/>
      <w:marRight w:val="0"/>
      <w:marTop w:val="0"/>
      <w:marBottom w:val="0"/>
      <w:divBdr>
        <w:top w:val="none" w:sz="0" w:space="0" w:color="auto"/>
        <w:left w:val="none" w:sz="0" w:space="0" w:color="auto"/>
        <w:bottom w:val="none" w:sz="0" w:space="0" w:color="auto"/>
        <w:right w:val="none" w:sz="0" w:space="0" w:color="auto"/>
      </w:divBdr>
    </w:div>
    <w:div w:id="1061750324">
      <w:bodyDiv w:val="1"/>
      <w:marLeft w:val="0"/>
      <w:marRight w:val="0"/>
      <w:marTop w:val="0"/>
      <w:marBottom w:val="0"/>
      <w:divBdr>
        <w:top w:val="none" w:sz="0" w:space="0" w:color="auto"/>
        <w:left w:val="none" w:sz="0" w:space="0" w:color="auto"/>
        <w:bottom w:val="none" w:sz="0" w:space="0" w:color="auto"/>
        <w:right w:val="none" w:sz="0" w:space="0" w:color="auto"/>
      </w:divBdr>
    </w:div>
    <w:div w:id="1065301547">
      <w:bodyDiv w:val="1"/>
      <w:marLeft w:val="0"/>
      <w:marRight w:val="0"/>
      <w:marTop w:val="0"/>
      <w:marBottom w:val="0"/>
      <w:divBdr>
        <w:top w:val="none" w:sz="0" w:space="0" w:color="auto"/>
        <w:left w:val="none" w:sz="0" w:space="0" w:color="auto"/>
        <w:bottom w:val="none" w:sz="0" w:space="0" w:color="auto"/>
        <w:right w:val="none" w:sz="0" w:space="0" w:color="auto"/>
      </w:divBdr>
    </w:div>
    <w:div w:id="1201816276">
      <w:bodyDiv w:val="1"/>
      <w:marLeft w:val="0"/>
      <w:marRight w:val="0"/>
      <w:marTop w:val="0"/>
      <w:marBottom w:val="0"/>
      <w:divBdr>
        <w:top w:val="none" w:sz="0" w:space="0" w:color="auto"/>
        <w:left w:val="none" w:sz="0" w:space="0" w:color="auto"/>
        <w:bottom w:val="none" w:sz="0" w:space="0" w:color="auto"/>
        <w:right w:val="none" w:sz="0" w:space="0" w:color="auto"/>
      </w:divBdr>
    </w:div>
    <w:div w:id="1207720740">
      <w:bodyDiv w:val="1"/>
      <w:marLeft w:val="0"/>
      <w:marRight w:val="0"/>
      <w:marTop w:val="0"/>
      <w:marBottom w:val="0"/>
      <w:divBdr>
        <w:top w:val="none" w:sz="0" w:space="0" w:color="auto"/>
        <w:left w:val="none" w:sz="0" w:space="0" w:color="auto"/>
        <w:bottom w:val="none" w:sz="0" w:space="0" w:color="auto"/>
        <w:right w:val="none" w:sz="0" w:space="0" w:color="auto"/>
      </w:divBdr>
    </w:div>
    <w:div w:id="1215657263">
      <w:bodyDiv w:val="1"/>
      <w:marLeft w:val="0"/>
      <w:marRight w:val="0"/>
      <w:marTop w:val="0"/>
      <w:marBottom w:val="0"/>
      <w:divBdr>
        <w:top w:val="none" w:sz="0" w:space="0" w:color="auto"/>
        <w:left w:val="none" w:sz="0" w:space="0" w:color="auto"/>
        <w:bottom w:val="none" w:sz="0" w:space="0" w:color="auto"/>
        <w:right w:val="none" w:sz="0" w:space="0" w:color="auto"/>
      </w:divBdr>
    </w:div>
    <w:div w:id="1223904454">
      <w:bodyDiv w:val="1"/>
      <w:marLeft w:val="0"/>
      <w:marRight w:val="0"/>
      <w:marTop w:val="0"/>
      <w:marBottom w:val="0"/>
      <w:divBdr>
        <w:top w:val="none" w:sz="0" w:space="0" w:color="auto"/>
        <w:left w:val="none" w:sz="0" w:space="0" w:color="auto"/>
        <w:bottom w:val="none" w:sz="0" w:space="0" w:color="auto"/>
        <w:right w:val="none" w:sz="0" w:space="0" w:color="auto"/>
      </w:divBdr>
    </w:div>
    <w:div w:id="1234707155">
      <w:bodyDiv w:val="1"/>
      <w:marLeft w:val="0"/>
      <w:marRight w:val="0"/>
      <w:marTop w:val="0"/>
      <w:marBottom w:val="0"/>
      <w:divBdr>
        <w:top w:val="none" w:sz="0" w:space="0" w:color="auto"/>
        <w:left w:val="none" w:sz="0" w:space="0" w:color="auto"/>
        <w:bottom w:val="none" w:sz="0" w:space="0" w:color="auto"/>
        <w:right w:val="none" w:sz="0" w:space="0" w:color="auto"/>
      </w:divBdr>
    </w:div>
    <w:div w:id="1242256340">
      <w:bodyDiv w:val="1"/>
      <w:marLeft w:val="0"/>
      <w:marRight w:val="0"/>
      <w:marTop w:val="0"/>
      <w:marBottom w:val="0"/>
      <w:divBdr>
        <w:top w:val="none" w:sz="0" w:space="0" w:color="auto"/>
        <w:left w:val="none" w:sz="0" w:space="0" w:color="auto"/>
        <w:bottom w:val="none" w:sz="0" w:space="0" w:color="auto"/>
        <w:right w:val="none" w:sz="0" w:space="0" w:color="auto"/>
      </w:divBdr>
    </w:div>
    <w:div w:id="1249776053">
      <w:bodyDiv w:val="1"/>
      <w:marLeft w:val="0"/>
      <w:marRight w:val="0"/>
      <w:marTop w:val="0"/>
      <w:marBottom w:val="0"/>
      <w:divBdr>
        <w:top w:val="none" w:sz="0" w:space="0" w:color="auto"/>
        <w:left w:val="none" w:sz="0" w:space="0" w:color="auto"/>
        <w:bottom w:val="none" w:sz="0" w:space="0" w:color="auto"/>
        <w:right w:val="none" w:sz="0" w:space="0" w:color="auto"/>
      </w:divBdr>
    </w:div>
    <w:div w:id="1268462309">
      <w:bodyDiv w:val="1"/>
      <w:marLeft w:val="0"/>
      <w:marRight w:val="0"/>
      <w:marTop w:val="0"/>
      <w:marBottom w:val="0"/>
      <w:divBdr>
        <w:top w:val="none" w:sz="0" w:space="0" w:color="auto"/>
        <w:left w:val="none" w:sz="0" w:space="0" w:color="auto"/>
        <w:bottom w:val="none" w:sz="0" w:space="0" w:color="auto"/>
        <w:right w:val="none" w:sz="0" w:space="0" w:color="auto"/>
      </w:divBdr>
    </w:div>
    <w:div w:id="1269045432">
      <w:bodyDiv w:val="1"/>
      <w:marLeft w:val="0"/>
      <w:marRight w:val="0"/>
      <w:marTop w:val="0"/>
      <w:marBottom w:val="0"/>
      <w:divBdr>
        <w:top w:val="none" w:sz="0" w:space="0" w:color="auto"/>
        <w:left w:val="none" w:sz="0" w:space="0" w:color="auto"/>
        <w:bottom w:val="none" w:sz="0" w:space="0" w:color="auto"/>
        <w:right w:val="none" w:sz="0" w:space="0" w:color="auto"/>
      </w:divBdr>
    </w:div>
    <w:div w:id="1273586573">
      <w:bodyDiv w:val="1"/>
      <w:marLeft w:val="0"/>
      <w:marRight w:val="0"/>
      <w:marTop w:val="0"/>
      <w:marBottom w:val="0"/>
      <w:divBdr>
        <w:top w:val="none" w:sz="0" w:space="0" w:color="auto"/>
        <w:left w:val="none" w:sz="0" w:space="0" w:color="auto"/>
        <w:bottom w:val="none" w:sz="0" w:space="0" w:color="auto"/>
        <w:right w:val="none" w:sz="0" w:space="0" w:color="auto"/>
      </w:divBdr>
    </w:div>
    <w:div w:id="1276669516">
      <w:bodyDiv w:val="1"/>
      <w:marLeft w:val="0"/>
      <w:marRight w:val="0"/>
      <w:marTop w:val="0"/>
      <w:marBottom w:val="0"/>
      <w:divBdr>
        <w:top w:val="none" w:sz="0" w:space="0" w:color="auto"/>
        <w:left w:val="none" w:sz="0" w:space="0" w:color="auto"/>
        <w:bottom w:val="none" w:sz="0" w:space="0" w:color="auto"/>
        <w:right w:val="none" w:sz="0" w:space="0" w:color="auto"/>
      </w:divBdr>
    </w:div>
    <w:div w:id="1284341750">
      <w:bodyDiv w:val="1"/>
      <w:marLeft w:val="0"/>
      <w:marRight w:val="0"/>
      <w:marTop w:val="0"/>
      <w:marBottom w:val="0"/>
      <w:divBdr>
        <w:top w:val="none" w:sz="0" w:space="0" w:color="auto"/>
        <w:left w:val="none" w:sz="0" w:space="0" w:color="auto"/>
        <w:bottom w:val="none" w:sz="0" w:space="0" w:color="auto"/>
        <w:right w:val="none" w:sz="0" w:space="0" w:color="auto"/>
      </w:divBdr>
      <w:divsChild>
        <w:div w:id="662048200">
          <w:marLeft w:val="0"/>
          <w:marRight w:val="0"/>
          <w:marTop w:val="0"/>
          <w:marBottom w:val="0"/>
          <w:divBdr>
            <w:top w:val="none" w:sz="0" w:space="0" w:color="auto"/>
            <w:left w:val="none" w:sz="0" w:space="0" w:color="auto"/>
            <w:bottom w:val="none" w:sz="0" w:space="0" w:color="auto"/>
            <w:right w:val="none" w:sz="0" w:space="0" w:color="auto"/>
          </w:divBdr>
        </w:div>
      </w:divsChild>
    </w:div>
    <w:div w:id="1306620485">
      <w:bodyDiv w:val="1"/>
      <w:marLeft w:val="0"/>
      <w:marRight w:val="0"/>
      <w:marTop w:val="0"/>
      <w:marBottom w:val="0"/>
      <w:divBdr>
        <w:top w:val="none" w:sz="0" w:space="0" w:color="auto"/>
        <w:left w:val="none" w:sz="0" w:space="0" w:color="auto"/>
        <w:bottom w:val="none" w:sz="0" w:space="0" w:color="auto"/>
        <w:right w:val="none" w:sz="0" w:space="0" w:color="auto"/>
      </w:divBdr>
    </w:div>
    <w:div w:id="1324118843">
      <w:bodyDiv w:val="1"/>
      <w:marLeft w:val="0"/>
      <w:marRight w:val="0"/>
      <w:marTop w:val="0"/>
      <w:marBottom w:val="0"/>
      <w:divBdr>
        <w:top w:val="none" w:sz="0" w:space="0" w:color="auto"/>
        <w:left w:val="none" w:sz="0" w:space="0" w:color="auto"/>
        <w:bottom w:val="none" w:sz="0" w:space="0" w:color="auto"/>
        <w:right w:val="none" w:sz="0" w:space="0" w:color="auto"/>
      </w:divBdr>
    </w:div>
    <w:div w:id="1324354187">
      <w:bodyDiv w:val="1"/>
      <w:marLeft w:val="0"/>
      <w:marRight w:val="0"/>
      <w:marTop w:val="0"/>
      <w:marBottom w:val="0"/>
      <w:divBdr>
        <w:top w:val="none" w:sz="0" w:space="0" w:color="auto"/>
        <w:left w:val="none" w:sz="0" w:space="0" w:color="auto"/>
        <w:bottom w:val="none" w:sz="0" w:space="0" w:color="auto"/>
        <w:right w:val="none" w:sz="0" w:space="0" w:color="auto"/>
      </w:divBdr>
    </w:div>
    <w:div w:id="1334725628">
      <w:bodyDiv w:val="1"/>
      <w:marLeft w:val="0"/>
      <w:marRight w:val="0"/>
      <w:marTop w:val="0"/>
      <w:marBottom w:val="0"/>
      <w:divBdr>
        <w:top w:val="none" w:sz="0" w:space="0" w:color="auto"/>
        <w:left w:val="none" w:sz="0" w:space="0" w:color="auto"/>
        <w:bottom w:val="none" w:sz="0" w:space="0" w:color="auto"/>
        <w:right w:val="none" w:sz="0" w:space="0" w:color="auto"/>
      </w:divBdr>
    </w:div>
    <w:div w:id="1347368122">
      <w:bodyDiv w:val="1"/>
      <w:marLeft w:val="0"/>
      <w:marRight w:val="0"/>
      <w:marTop w:val="0"/>
      <w:marBottom w:val="0"/>
      <w:divBdr>
        <w:top w:val="none" w:sz="0" w:space="0" w:color="auto"/>
        <w:left w:val="none" w:sz="0" w:space="0" w:color="auto"/>
        <w:bottom w:val="none" w:sz="0" w:space="0" w:color="auto"/>
        <w:right w:val="none" w:sz="0" w:space="0" w:color="auto"/>
      </w:divBdr>
    </w:div>
    <w:div w:id="1366758217">
      <w:bodyDiv w:val="1"/>
      <w:marLeft w:val="0"/>
      <w:marRight w:val="0"/>
      <w:marTop w:val="0"/>
      <w:marBottom w:val="0"/>
      <w:divBdr>
        <w:top w:val="none" w:sz="0" w:space="0" w:color="auto"/>
        <w:left w:val="none" w:sz="0" w:space="0" w:color="auto"/>
        <w:bottom w:val="none" w:sz="0" w:space="0" w:color="auto"/>
        <w:right w:val="none" w:sz="0" w:space="0" w:color="auto"/>
      </w:divBdr>
    </w:div>
    <w:div w:id="1371343655">
      <w:bodyDiv w:val="1"/>
      <w:marLeft w:val="0"/>
      <w:marRight w:val="0"/>
      <w:marTop w:val="0"/>
      <w:marBottom w:val="0"/>
      <w:divBdr>
        <w:top w:val="none" w:sz="0" w:space="0" w:color="auto"/>
        <w:left w:val="none" w:sz="0" w:space="0" w:color="auto"/>
        <w:bottom w:val="none" w:sz="0" w:space="0" w:color="auto"/>
        <w:right w:val="none" w:sz="0" w:space="0" w:color="auto"/>
      </w:divBdr>
    </w:div>
    <w:div w:id="1389762203">
      <w:bodyDiv w:val="1"/>
      <w:marLeft w:val="0"/>
      <w:marRight w:val="0"/>
      <w:marTop w:val="0"/>
      <w:marBottom w:val="0"/>
      <w:divBdr>
        <w:top w:val="none" w:sz="0" w:space="0" w:color="auto"/>
        <w:left w:val="none" w:sz="0" w:space="0" w:color="auto"/>
        <w:bottom w:val="none" w:sz="0" w:space="0" w:color="auto"/>
        <w:right w:val="none" w:sz="0" w:space="0" w:color="auto"/>
      </w:divBdr>
    </w:div>
    <w:div w:id="1396512968">
      <w:bodyDiv w:val="1"/>
      <w:marLeft w:val="0"/>
      <w:marRight w:val="0"/>
      <w:marTop w:val="0"/>
      <w:marBottom w:val="0"/>
      <w:divBdr>
        <w:top w:val="none" w:sz="0" w:space="0" w:color="auto"/>
        <w:left w:val="none" w:sz="0" w:space="0" w:color="auto"/>
        <w:bottom w:val="none" w:sz="0" w:space="0" w:color="auto"/>
        <w:right w:val="none" w:sz="0" w:space="0" w:color="auto"/>
      </w:divBdr>
    </w:div>
    <w:div w:id="1405034015">
      <w:bodyDiv w:val="1"/>
      <w:marLeft w:val="0"/>
      <w:marRight w:val="0"/>
      <w:marTop w:val="0"/>
      <w:marBottom w:val="0"/>
      <w:divBdr>
        <w:top w:val="none" w:sz="0" w:space="0" w:color="auto"/>
        <w:left w:val="none" w:sz="0" w:space="0" w:color="auto"/>
        <w:bottom w:val="none" w:sz="0" w:space="0" w:color="auto"/>
        <w:right w:val="none" w:sz="0" w:space="0" w:color="auto"/>
      </w:divBdr>
    </w:div>
    <w:div w:id="1423333454">
      <w:bodyDiv w:val="1"/>
      <w:marLeft w:val="0"/>
      <w:marRight w:val="0"/>
      <w:marTop w:val="0"/>
      <w:marBottom w:val="0"/>
      <w:divBdr>
        <w:top w:val="none" w:sz="0" w:space="0" w:color="auto"/>
        <w:left w:val="none" w:sz="0" w:space="0" w:color="auto"/>
        <w:bottom w:val="none" w:sz="0" w:space="0" w:color="auto"/>
        <w:right w:val="none" w:sz="0" w:space="0" w:color="auto"/>
      </w:divBdr>
    </w:div>
    <w:div w:id="1428035363">
      <w:bodyDiv w:val="1"/>
      <w:marLeft w:val="0"/>
      <w:marRight w:val="0"/>
      <w:marTop w:val="0"/>
      <w:marBottom w:val="0"/>
      <w:divBdr>
        <w:top w:val="none" w:sz="0" w:space="0" w:color="auto"/>
        <w:left w:val="none" w:sz="0" w:space="0" w:color="auto"/>
        <w:bottom w:val="none" w:sz="0" w:space="0" w:color="auto"/>
        <w:right w:val="none" w:sz="0" w:space="0" w:color="auto"/>
      </w:divBdr>
      <w:divsChild>
        <w:div w:id="896428695">
          <w:marLeft w:val="547"/>
          <w:marRight w:val="0"/>
          <w:marTop w:val="154"/>
          <w:marBottom w:val="0"/>
          <w:divBdr>
            <w:top w:val="none" w:sz="0" w:space="0" w:color="auto"/>
            <w:left w:val="none" w:sz="0" w:space="0" w:color="auto"/>
            <w:bottom w:val="none" w:sz="0" w:space="0" w:color="auto"/>
            <w:right w:val="none" w:sz="0" w:space="0" w:color="auto"/>
          </w:divBdr>
        </w:div>
      </w:divsChild>
    </w:div>
    <w:div w:id="1434738440">
      <w:bodyDiv w:val="1"/>
      <w:marLeft w:val="0"/>
      <w:marRight w:val="0"/>
      <w:marTop w:val="0"/>
      <w:marBottom w:val="0"/>
      <w:divBdr>
        <w:top w:val="none" w:sz="0" w:space="0" w:color="auto"/>
        <w:left w:val="none" w:sz="0" w:space="0" w:color="auto"/>
        <w:bottom w:val="none" w:sz="0" w:space="0" w:color="auto"/>
        <w:right w:val="none" w:sz="0" w:space="0" w:color="auto"/>
      </w:divBdr>
      <w:divsChild>
        <w:div w:id="1147821939">
          <w:marLeft w:val="0"/>
          <w:marRight w:val="0"/>
          <w:marTop w:val="0"/>
          <w:marBottom w:val="0"/>
          <w:divBdr>
            <w:top w:val="none" w:sz="0" w:space="0" w:color="auto"/>
            <w:left w:val="none" w:sz="0" w:space="0" w:color="auto"/>
            <w:bottom w:val="none" w:sz="0" w:space="0" w:color="auto"/>
            <w:right w:val="none" w:sz="0" w:space="0" w:color="auto"/>
          </w:divBdr>
        </w:div>
        <w:div w:id="1742025770">
          <w:marLeft w:val="0"/>
          <w:marRight w:val="0"/>
          <w:marTop w:val="0"/>
          <w:marBottom w:val="0"/>
          <w:divBdr>
            <w:top w:val="none" w:sz="0" w:space="0" w:color="auto"/>
            <w:left w:val="none" w:sz="0" w:space="0" w:color="auto"/>
            <w:bottom w:val="none" w:sz="0" w:space="0" w:color="auto"/>
            <w:right w:val="none" w:sz="0" w:space="0" w:color="auto"/>
          </w:divBdr>
        </w:div>
      </w:divsChild>
    </w:div>
    <w:div w:id="1440639619">
      <w:bodyDiv w:val="1"/>
      <w:marLeft w:val="0"/>
      <w:marRight w:val="0"/>
      <w:marTop w:val="0"/>
      <w:marBottom w:val="0"/>
      <w:divBdr>
        <w:top w:val="none" w:sz="0" w:space="0" w:color="auto"/>
        <w:left w:val="none" w:sz="0" w:space="0" w:color="auto"/>
        <w:bottom w:val="none" w:sz="0" w:space="0" w:color="auto"/>
        <w:right w:val="none" w:sz="0" w:space="0" w:color="auto"/>
      </w:divBdr>
    </w:div>
    <w:div w:id="1452896531">
      <w:bodyDiv w:val="1"/>
      <w:marLeft w:val="0"/>
      <w:marRight w:val="0"/>
      <w:marTop w:val="0"/>
      <w:marBottom w:val="0"/>
      <w:divBdr>
        <w:top w:val="none" w:sz="0" w:space="0" w:color="auto"/>
        <w:left w:val="none" w:sz="0" w:space="0" w:color="auto"/>
        <w:bottom w:val="none" w:sz="0" w:space="0" w:color="auto"/>
        <w:right w:val="none" w:sz="0" w:space="0" w:color="auto"/>
      </w:divBdr>
    </w:div>
    <w:div w:id="1465386569">
      <w:bodyDiv w:val="1"/>
      <w:marLeft w:val="0"/>
      <w:marRight w:val="0"/>
      <w:marTop w:val="0"/>
      <w:marBottom w:val="0"/>
      <w:divBdr>
        <w:top w:val="none" w:sz="0" w:space="0" w:color="auto"/>
        <w:left w:val="none" w:sz="0" w:space="0" w:color="auto"/>
        <w:bottom w:val="none" w:sz="0" w:space="0" w:color="auto"/>
        <w:right w:val="none" w:sz="0" w:space="0" w:color="auto"/>
      </w:divBdr>
      <w:divsChild>
        <w:div w:id="119884504">
          <w:marLeft w:val="0"/>
          <w:marRight w:val="0"/>
          <w:marTop w:val="0"/>
          <w:marBottom w:val="672"/>
          <w:divBdr>
            <w:top w:val="none" w:sz="0" w:space="0" w:color="auto"/>
            <w:left w:val="none" w:sz="0" w:space="0" w:color="auto"/>
            <w:bottom w:val="none" w:sz="0" w:space="0" w:color="auto"/>
            <w:right w:val="none" w:sz="0" w:space="0" w:color="auto"/>
          </w:divBdr>
        </w:div>
      </w:divsChild>
    </w:div>
    <w:div w:id="1478759863">
      <w:bodyDiv w:val="1"/>
      <w:marLeft w:val="0"/>
      <w:marRight w:val="0"/>
      <w:marTop w:val="0"/>
      <w:marBottom w:val="0"/>
      <w:divBdr>
        <w:top w:val="none" w:sz="0" w:space="0" w:color="auto"/>
        <w:left w:val="none" w:sz="0" w:space="0" w:color="auto"/>
        <w:bottom w:val="none" w:sz="0" w:space="0" w:color="auto"/>
        <w:right w:val="none" w:sz="0" w:space="0" w:color="auto"/>
      </w:divBdr>
    </w:div>
    <w:div w:id="1486119380">
      <w:bodyDiv w:val="1"/>
      <w:marLeft w:val="0"/>
      <w:marRight w:val="0"/>
      <w:marTop w:val="0"/>
      <w:marBottom w:val="0"/>
      <w:divBdr>
        <w:top w:val="none" w:sz="0" w:space="0" w:color="auto"/>
        <w:left w:val="none" w:sz="0" w:space="0" w:color="auto"/>
        <w:bottom w:val="none" w:sz="0" w:space="0" w:color="auto"/>
        <w:right w:val="none" w:sz="0" w:space="0" w:color="auto"/>
      </w:divBdr>
    </w:div>
    <w:div w:id="1506894419">
      <w:bodyDiv w:val="1"/>
      <w:marLeft w:val="0"/>
      <w:marRight w:val="0"/>
      <w:marTop w:val="0"/>
      <w:marBottom w:val="0"/>
      <w:divBdr>
        <w:top w:val="none" w:sz="0" w:space="0" w:color="auto"/>
        <w:left w:val="none" w:sz="0" w:space="0" w:color="auto"/>
        <w:bottom w:val="none" w:sz="0" w:space="0" w:color="auto"/>
        <w:right w:val="none" w:sz="0" w:space="0" w:color="auto"/>
      </w:divBdr>
    </w:div>
    <w:div w:id="1514493283">
      <w:bodyDiv w:val="1"/>
      <w:marLeft w:val="0"/>
      <w:marRight w:val="0"/>
      <w:marTop w:val="0"/>
      <w:marBottom w:val="0"/>
      <w:divBdr>
        <w:top w:val="none" w:sz="0" w:space="0" w:color="auto"/>
        <w:left w:val="none" w:sz="0" w:space="0" w:color="auto"/>
        <w:bottom w:val="none" w:sz="0" w:space="0" w:color="auto"/>
        <w:right w:val="none" w:sz="0" w:space="0" w:color="auto"/>
      </w:divBdr>
    </w:div>
    <w:div w:id="1534071367">
      <w:bodyDiv w:val="1"/>
      <w:marLeft w:val="0"/>
      <w:marRight w:val="0"/>
      <w:marTop w:val="0"/>
      <w:marBottom w:val="0"/>
      <w:divBdr>
        <w:top w:val="none" w:sz="0" w:space="0" w:color="auto"/>
        <w:left w:val="none" w:sz="0" w:space="0" w:color="auto"/>
        <w:bottom w:val="none" w:sz="0" w:space="0" w:color="auto"/>
        <w:right w:val="none" w:sz="0" w:space="0" w:color="auto"/>
      </w:divBdr>
    </w:div>
    <w:div w:id="1534271787">
      <w:bodyDiv w:val="1"/>
      <w:marLeft w:val="0"/>
      <w:marRight w:val="0"/>
      <w:marTop w:val="0"/>
      <w:marBottom w:val="0"/>
      <w:divBdr>
        <w:top w:val="none" w:sz="0" w:space="0" w:color="auto"/>
        <w:left w:val="none" w:sz="0" w:space="0" w:color="auto"/>
        <w:bottom w:val="none" w:sz="0" w:space="0" w:color="auto"/>
        <w:right w:val="none" w:sz="0" w:space="0" w:color="auto"/>
      </w:divBdr>
    </w:div>
    <w:div w:id="1539583244">
      <w:bodyDiv w:val="1"/>
      <w:marLeft w:val="0"/>
      <w:marRight w:val="0"/>
      <w:marTop w:val="0"/>
      <w:marBottom w:val="0"/>
      <w:divBdr>
        <w:top w:val="none" w:sz="0" w:space="0" w:color="auto"/>
        <w:left w:val="none" w:sz="0" w:space="0" w:color="auto"/>
        <w:bottom w:val="none" w:sz="0" w:space="0" w:color="auto"/>
        <w:right w:val="none" w:sz="0" w:space="0" w:color="auto"/>
      </w:divBdr>
    </w:div>
    <w:div w:id="1560746526">
      <w:bodyDiv w:val="1"/>
      <w:marLeft w:val="0"/>
      <w:marRight w:val="0"/>
      <w:marTop w:val="0"/>
      <w:marBottom w:val="0"/>
      <w:divBdr>
        <w:top w:val="none" w:sz="0" w:space="0" w:color="auto"/>
        <w:left w:val="none" w:sz="0" w:space="0" w:color="auto"/>
        <w:bottom w:val="none" w:sz="0" w:space="0" w:color="auto"/>
        <w:right w:val="none" w:sz="0" w:space="0" w:color="auto"/>
      </w:divBdr>
    </w:div>
    <w:div w:id="1600024878">
      <w:bodyDiv w:val="1"/>
      <w:marLeft w:val="0"/>
      <w:marRight w:val="0"/>
      <w:marTop w:val="0"/>
      <w:marBottom w:val="0"/>
      <w:divBdr>
        <w:top w:val="none" w:sz="0" w:space="0" w:color="auto"/>
        <w:left w:val="none" w:sz="0" w:space="0" w:color="auto"/>
        <w:bottom w:val="none" w:sz="0" w:space="0" w:color="auto"/>
        <w:right w:val="none" w:sz="0" w:space="0" w:color="auto"/>
      </w:divBdr>
    </w:div>
    <w:div w:id="1603565094">
      <w:bodyDiv w:val="1"/>
      <w:marLeft w:val="0"/>
      <w:marRight w:val="0"/>
      <w:marTop w:val="0"/>
      <w:marBottom w:val="0"/>
      <w:divBdr>
        <w:top w:val="none" w:sz="0" w:space="0" w:color="auto"/>
        <w:left w:val="none" w:sz="0" w:space="0" w:color="auto"/>
        <w:bottom w:val="none" w:sz="0" w:space="0" w:color="auto"/>
        <w:right w:val="none" w:sz="0" w:space="0" w:color="auto"/>
      </w:divBdr>
    </w:div>
    <w:div w:id="1646200319">
      <w:bodyDiv w:val="1"/>
      <w:marLeft w:val="0"/>
      <w:marRight w:val="0"/>
      <w:marTop w:val="0"/>
      <w:marBottom w:val="0"/>
      <w:divBdr>
        <w:top w:val="none" w:sz="0" w:space="0" w:color="auto"/>
        <w:left w:val="none" w:sz="0" w:space="0" w:color="auto"/>
        <w:bottom w:val="none" w:sz="0" w:space="0" w:color="auto"/>
        <w:right w:val="none" w:sz="0" w:space="0" w:color="auto"/>
      </w:divBdr>
    </w:div>
    <w:div w:id="1651059765">
      <w:bodyDiv w:val="1"/>
      <w:marLeft w:val="0"/>
      <w:marRight w:val="0"/>
      <w:marTop w:val="0"/>
      <w:marBottom w:val="0"/>
      <w:divBdr>
        <w:top w:val="none" w:sz="0" w:space="0" w:color="auto"/>
        <w:left w:val="none" w:sz="0" w:space="0" w:color="auto"/>
        <w:bottom w:val="none" w:sz="0" w:space="0" w:color="auto"/>
        <w:right w:val="none" w:sz="0" w:space="0" w:color="auto"/>
      </w:divBdr>
    </w:div>
    <w:div w:id="1674334799">
      <w:bodyDiv w:val="1"/>
      <w:marLeft w:val="0"/>
      <w:marRight w:val="0"/>
      <w:marTop w:val="0"/>
      <w:marBottom w:val="0"/>
      <w:divBdr>
        <w:top w:val="none" w:sz="0" w:space="0" w:color="auto"/>
        <w:left w:val="none" w:sz="0" w:space="0" w:color="auto"/>
        <w:bottom w:val="none" w:sz="0" w:space="0" w:color="auto"/>
        <w:right w:val="none" w:sz="0" w:space="0" w:color="auto"/>
      </w:divBdr>
    </w:div>
    <w:div w:id="1690331028">
      <w:bodyDiv w:val="1"/>
      <w:marLeft w:val="0"/>
      <w:marRight w:val="0"/>
      <w:marTop w:val="0"/>
      <w:marBottom w:val="0"/>
      <w:divBdr>
        <w:top w:val="none" w:sz="0" w:space="0" w:color="auto"/>
        <w:left w:val="none" w:sz="0" w:space="0" w:color="auto"/>
        <w:bottom w:val="none" w:sz="0" w:space="0" w:color="auto"/>
        <w:right w:val="none" w:sz="0" w:space="0" w:color="auto"/>
      </w:divBdr>
    </w:div>
    <w:div w:id="1702585767">
      <w:bodyDiv w:val="1"/>
      <w:marLeft w:val="0"/>
      <w:marRight w:val="0"/>
      <w:marTop w:val="0"/>
      <w:marBottom w:val="0"/>
      <w:divBdr>
        <w:top w:val="none" w:sz="0" w:space="0" w:color="auto"/>
        <w:left w:val="none" w:sz="0" w:space="0" w:color="auto"/>
        <w:bottom w:val="none" w:sz="0" w:space="0" w:color="auto"/>
        <w:right w:val="none" w:sz="0" w:space="0" w:color="auto"/>
      </w:divBdr>
    </w:div>
    <w:div w:id="1722903094">
      <w:bodyDiv w:val="1"/>
      <w:marLeft w:val="0"/>
      <w:marRight w:val="0"/>
      <w:marTop w:val="0"/>
      <w:marBottom w:val="0"/>
      <w:divBdr>
        <w:top w:val="none" w:sz="0" w:space="0" w:color="auto"/>
        <w:left w:val="none" w:sz="0" w:space="0" w:color="auto"/>
        <w:bottom w:val="none" w:sz="0" w:space="0" w:color="auto"/>
        <w:right w:val="none" w:sz="0" w:space="0" w:color="auto"/>
      </w:divBdr>
      <w:divsChild>
        <w:div w:id="548389">
          <w:marLeft w:val="0"/>
          <w:marRight w:val="0"/>
          <w:marTop w:val="0"/>
          <w:marBottom w:val="0"/>
          <w:divBdr>
            <w:top w:val="none" w:sz="0" w:space="0" w:color="auto"/>
            <w:left w:val="none" w:sz="0" w:space="0" w:color="auto"/>
            <w:bottom w:val="none" w:sz="0" w:space="0" w:color="auto"/>
            <w:right w:val="none" w:sz="0" w:space="0" w:color="auto"/>
          </w:divBdr>
        </w:div>
      </w:divsChild>
    </w:div>
    <w:div w:id="1730959865">
      <w:bodyDiv w:val="1"/>
      <w:marLeft w:val="0"/>
      <w:marRight w:val="0"/>
      <w:marTop w:val="0"/>
      <w:marBottom w:val="0"/>
      <w:divBdr>
        <w:top w:val="none" w:sz="0" w:space="0" w:color="auto"/>
        <w:left w:val="none" w:sz="0" w:space="0" w:color="auto"/>
        <w:bottom w:val="none" w:sz="0" w:space="0" w:color="auto"/>
        <w:right w:val="none" w:sz="0" w:space="0" w:color="auto"/>
      </w:divBdr>
    </w:div>
    <w:div w:id="1741095929">
      <w:bodyDiv w:val="1"/>
      <w:marLeft w:val="0"/>
      <w:marRight w:val="0"/>
      <w:marTop w:val="0"/>
      <w:marBottom w:val="0"/>
      <w:divBdr>
        <w:top w:val="none" w:sz="0" w:space="0" w:color="auto"/>
        <w:left w:val="none" w:sz="0" w:space="0" w:color="auto"/>
        <w:bottom w:val="none" w:sz="0" w:space="0" w:color="auto"/>
        <w:right w:val="none" w:sz="0" w:space="0" w:color="auto"/>
      </w:divBdr>
    </w:div>
    <w:div w:id="1752387300">
      <w:bodyDiv w:val="1"/>
      <w:marLeft w:val="0"/>
      <w:marRight w:val="0"/>
      <w:marTop w:val="0"/>
      <w:marBottom w:val="0"/>
      <w:divBdr>
        <w:top w:val="none" w:sz="0" w:space="0" w:color="auto"/>
        <w:left w:val="none" w:sz="0" w:space="0" w:color="auto"/>
        <w:bottom w:val="none" w:sz="0" w:space="0" w:color="auto"/>
        <w:right w:val="none" w:sz="0" w:space="0" w:color="auto"/>
      </w:divBdr>
    </w:div>
    <w:div w:id="1775520050">
      <w:bodyDiv w:val="1"/>
      <w:marLeft w:val="0"/>
      <w:marRight w:val="0"/>
      <w:marTop w:val="0"/>
      <w:marBottom w:val="0"/>
      <w:divBdr>
        <w:top w:val="none" w:sz="0" w:space="0" w:color="auto"/>
        <w:left w:val="none" w:sz="0" w:space="0" w:color="auto"/>
        <w:bottom w:val="none" w:sz="0" w:space="0" w:color="auto"/>
        <w:right w:val="none" w:sz="0" w:space="0" w:color="auto"/>
      </w:divBdr>
    </w:div>
    <w:div w:id="1790467640">
      <w:marLeft w:val="0"/>
      <w:marRight w:val="0"/>
      <w:marTop w:val="0"/>
      <w:marBottom w:val="0"/>
      <w:divBdr>
        <w:top w:val="none" w:sz="0" w:space="0" w:color="auto"/>
        <w:left w:val="none" w:sz="0" w:space="0" w:color="auto"/>
        <w:bottom w:val="none" w:sz="0" w:space="0" w:color="auto"/>
        <w:right w:val="none" w:sz="0" w:space="0" w:color="auto"/>
      </w:divBdr>
      <w:divsChild>
        <w:div w:id="1790467644">
          <w:marLeft w:val="547"/>
          <w:marRight w:val="0"/>
          <w:marTop w:val="154"/>
          <w:marBottom w:val="0"/>
          <w:divBdr>
            <w:top w:val="none" w:sz="0" w:space="0" w:color="auto"/>
            <w:left w:val="none" w:sz="0" w:space="0" w:color="auto"/>
            <w:bottom w:val="none" w:sz="0" w:space="0" w:color="auto"/>
            <w:right w:val="none" w:sz="0" w:space="0" w:color="auto"/>
          </w:divBdr>
        </w:div>
      </w:divsChild>
    </w:div>
    <w:div w:id="1790467641">
      <w:marLeft w:val="0"/>
      <w:marRight w:val="0"/>
      <w:marTop w:val="0"/>
      <w:marBottom w:val="0"/>
      <w:divBdr>
        <w:top w:val="none" w:sz="0" w:space="0" w:color="auto"/>
        <w:left w:val="none" w:sz="0" w:space="0" w:color="auto"/>
        <w:bottom w:val="none" w:sz="0" w:space="0" w:color="auto"/>
        <w:right w:val="none" w:sz="0" w:space="0" w:color="auto"/>
      </w:divBdr>
    </w:div>
    <w:div w:id="1790467643">
      <w:marLeft w:val="0"/>
      <w:marRight w:val="0"/>
      <w:marTop w:val="0"/>
      <w:marBottom w:val="0"/>
      <w:divBdr>
        <w:top w:val="none" w:sz="0" w:space="0" w:color="auto"/>
        <w:left w:val="none" w:sz="0" w:space="0" w:color="auto"/>
        <w:bottom w:val="none" w:sz="0" w:space="0" w:color="auto"/>
        <w:right w:val="none" w:sz="0" w:space="0" w:color="auto"/>
      </w:divBdr>
      <w:divsChild>
        <w:div w:id="1790467645">
          <w:marLeft w:val="547"/>
          <w:marRight w:val="0"/>
          <w:marTop w:val="154"/>
          <w:marBottom w:val="0"/>
          <w:divBdr>
            <w:top w:val="none" w:sz="0" w:space="0" w:color="auto"/>
            <w:left w:val="none" w:sz="0" w:space="0" w:color="auto"/>
            <w:bottom w:val="none" w:sz="0" w:space="0" w:color="auto"/>
            <w:right w:val="none" w:sz="0" w:space="0" w:color="auto"/>
          </w:divBdr>
        </w:div>
        <w:div w:id="1790467651">
          <w:marLeft w:val="547"/>
          <w:marRight w:val="0"/>
          <w:marTop w:val="154"/>
          <w:marBottom w:val="0"/>
          <w:divBdr>
            <w:top w:val="none" w:sz="0" w:space="0" w:color="auto"/>
            <w:left w:val="none" w:sz="0" w:space="0" w:color="auto"/>
            <w:bottom w:val="none" w:sz="0" w:space="0" w:color="auto"/>
            <w:right w:val="none" w:sz="0" w:space="0" w:color="auto"/>
          </w:divBdr>
        </w:div>
      </w:divsChild>
    </w:div>
    <w:div w:id="1790467646">
      <w:marLeft w:val="0"/>
      <w:marRight w:val="0"/>
      <w:marTop w:val="0"/>
      <w:marBottom w:val="0"/>
      <w:divBdr>
        <w:top w:val="none" w:sz="0" w:space="0" w:color="auto"/>
        <w:left w:val="none" w:sz="0" w:space="0" w:color="auto"/>
        <w:bottom w:val="none" w:sz="0" w:space="0" w:color="auto"/>
        <w:right w:val="none" w:sz="0" w:space="0" w:color="auto"/>
      </w:divBdr>
    </w:div>
    <w:div w:id="1790467647">
      <w:marLeft w:val="0"/>
      <w:marRight w:val="0"/>
      <w:marTop w:val="0"/>
      <w:marBottom w:val="0"/>
      <w:divBdr>
        <w:top w:val="none" w:sz="0" w:space="0" w:color="auto"/>
        <w:left w:val="none" w:sz="0" w:space="0" w:color="auto"/>
        <w:bottom w:val="none" w:sz="0" w:space="0" w:color="auto"/>
        <w:right w:val="none" w:sz="0" w:space="0" w:color="auto"/>
      </w:divBdr>
    </w:div>
    <w:div w:id="1790467648">
      <w:marLeft w:val="0"/>
      <w:marRight w:val="0"/>
      <w:marTop w:val="0"/>
      <w:marBottom w:val="0"/>
      <w:divBdr>
        <w:top w:val="none" w:sz="0" w:space="0" w:color="auto"/>
        <w:left w:val="none" w:sz="0" w:space="0" w:color="auto"/>
        <w:bottom w:val="none" w:sz="0" w:space="0" w:color="auto"/>
        <w:right w:val="none" w:sz="0" w:space="0" w:color="auto"/>
      </w:divBdr>
    </w:div>
    <w:div w:id="1790467649">
      <w:marLeft w:val="0"/>
      <w:marRight w:val="0"/>
      <w:marTop w:val="0"/>
      <w:marBottom w:val="0"/>
      <w:divBdr>
        <w:top w:val="none" w:sz="0" w:space="0" w:color="auto"/>
        <w:left w:val="none" w:sz="0" w:space="0" w:color="auto"/>
        <w:bottom w:val="none" w:sz="0" w:space="0" w:color="auto"/>
        <w:right w:val="none" w:sz="0" w:space="0" w:color="auto"/>
      </w:divBdr>
    </w:div>
    <w:div w:id="1790467650">
      <w:marLeft w:val="0"/>
      <w:marRight w:val="0"/>
      <w:marTop w:val="0"/>
      <w:marBottom w:val="0"/>
      <w:divBdr>
        <w:top w:val="none" w:sz="0" w:space="0" w:color="auto"/>
        <w:left w:val="none" w:sz="0" w:space="0" w:color="auto"/>
        <w:bottom w:val="none" w:sz="0" w:space="0" w:color="auto"/>
        <w:right w:val="none" w:sz="0" w:space="0" w:color="auto"/>
      </w:divBdr>
    </w:div>
    <w:div w:id="1790467652">
      <w:marLeft w:val="0"/>
      <w:marRight w:val="0"/>
      <w:marTop w:val="0"/>
      <w:marBottom w:val="0"/>
      <w:divBdr>
        <w:top w:val="none" w:sz="0" w:space="0" w:color="auto"/>
        <w:left w:val="none" w:sz="0" w:space="0" w:color="auto"/>
        <w:bottom w:val="none" w:sz="0" w:space="0" w:color="auto"/>
        <w:right w:val="none" w:sz="0" w:space="0" w:color="auto"/>
      </w:divBdr>
    </w:div>
    <w:div w:id="1790467654">
      <w:marLeft w:val="0"/>
      <w:marRight w:val="0"/>
      <w:marTop w:val="0"/>
      <w:marBottom w:val="0"/>
      <w:divBdr>
        <w:top w:val="none" w:sz="0" w:space="0" w:color="auto"/>
        <w:left w:val="none" w:sz="0" w:space="0" w:color="auto"/>
        <w:bottom w:val="none" w:sz="0" w:space="0" w:color="auto"/>
        <w:right w:val="none" w:sz="0" w:space="0" w:color="auto"/>
      </w:divBdr>
    </w:div>
    <w:div w:id="1790467655">
      <w:marLeft w:val="0"/>
      <w:marRight w:val="0"/>
      <w:marTop w:val="0"/>
      <w:marBottom w:val="0"/>
      <w:divBdr>
        <w:top w:val="none" w:sz="0" w:space="0" w:color="auto"/>
        <w:left w:val="none" w:sz="0" w:space="0" w:color="auto"/>
        <w:bottom w:val="none" w:sz="0" w:space="0" w:color="auto"/>
        <w:right w:val="none" w:sz="0" w:space="0" w:color="auto"/>
      </w:divBdr>
    </w:div>
    <w:div w:id="1790467656">
      <w:marLeft w:val="0"/>
      <w:marRight w:val="0"/>
      <w:marTop w:val="0"/>
      <w:marBottom w:val="0"/>
      <w:divBdr>
        <w:top w:val="none" w:sz="0" w:space="0" w:color="auto"/>
        <w:left w:val="none" w:sz="0" w:space="0" w:color="auto"/>
        <w:bottom w:val="none" w:sz="0" w:space="0" w:color="auto"/>
        <w:right w:val="none" w:sz="0" w:space="0" w:color="auto"/>
      </w:divBdr>
    </w:div>
    <w:div w:id="1790467657">
      <w:marLeft w:val="0"/>
      <w:marRight w:val="0"/>
      <w:marTop w:val="0"/>
      <w:marBottom w:val="0"/>
      <w:divBdr>
        <w:top w:val="none" w:sz="0" w:space="0" w:color="auto"/>
        <w:left w:val="none" w:sz="0" w:space="0" w:color="auto"/>
        <w:bottom w:val="none" w:sz="0" w:space="0" w:color="auto"/>
        <w:right w:val="none" w:sz="0" w:space="0" w:color="auto"/>
      </w:divBdr>
    </w:div>
    <w:div w:id="1790467659">
      <w:marLeft w:val="0"/>
      <w:marRight w:val="0"/>
      <w:marTop w:val="0"/>
      <w:marBottom w:val="0"/>
      <w:divBdr>
        <w:top w:val="none" w:sz="0" w:space="0" w:color="auto"/>
        <w:left w:val="none" w:sz="0" w:space="0" w:color="auto"/>
        <w:bottom w:val="none" w:sz="0" w:space="0" w:color="auto"/>
        <w:right w:val="none" w:sz="0" w:space="0" w:color="auto"/>
      </w:divBdr>
    </w:div>
    <w:div w:id="1790467660">
      <w:marLeft w:val="0"/>
      <w:marRight w:val="0"/>
      <w:marTop w:val="0"/>
      <w:marBottom w:val="0"/>
      <w:divBdr>
        <w:top w:val="none" w:sz="0" w:space="0" w:color="auto"/>
        <w:left w:val="none" w:sz="0" w:space="0" w:color="auto"/>
        <w:bottom w:val="none" w:sz="0" w:space="0" w:color="auto"/>
        <w:right w:val="none" w:sz="0" w:space="0" w:color="auto"/>
      </w:divBdr>
    </w:div>
    <w:div w:id="1790467661">
      <w:marLeft w:val="0"/>
      <w:marRight w:val="0"/>
      <w:marTop w:val="0"/>
      <w:marBottom w:val="0"/>
      <w:divBdr>
        <w:top w:val="none" w:sz="0" w:space="0" w:color="auto"/>
        <w:left w:val="none" w:sz="0" w:space="0" w:color="auto"/>
        <w:bottom w:val="none" w:sz="0" w:space="0" w:color="auto"/>
        <w:right w:val="none" w:sz="0" w:space="0" w:color="auto"/>
      </w:divBdr>
    </w:div>
    <w:div w:id="1790467662">
      <w:marLeft w:val="0"/>
      <w:marRight w:val="0"/>
      <w:marTop w:val="0"/>
      <w:marBottom w:val="0"/>
      <w:divBdr>
        <w:top w:val="none" w:sz="0" w:space="0" w:color="auto"/>
        <w:left w:val="none" w:sz="0" w:space="0" w:color="auto"/>
        <w:bottom w:val="none" w:sz="0" w:space="0" w:color="auto"/>
        <w:right w:val="none" w:sz="0" w:space="0" w:color="auto"/>
      </w:divBdr>
    </w:div>
    <w:div w:id="1790467663">
      <w:marLeft w:val="0"/>
      <w:marRight w:val="0"/>
      <w:marTop w:val="0"/>
      <w:marBottom w:val="0"/>
      <w:divBdr>
        <w:top w:val="none" w:sz="0" w:space="0" w:color="auto"/>
        <w:left w:val="none" w:sz="0" w:space="0" w:color="auto"/>
        <w:bottom w:val="none" w:sz="0" w:space="0" w:color="auto"/>
        <w:right w:val="none" w:sz="0" w:space="0" w:color="auto"/>
      </w:divBdr>
      <w:divsChild>
        <w:div w:id="1790467666">
          <w:marLeft w:val="547"/>
          <w:marRight w:val="0"/>
          <w:marTop w:val="154"/>
          <w:marBottom w:val="0"/>
          <w:divBdr>
            <w:top w:val="none" w:sz="0" w:space="0" w:color="auto"/>
            <w:left w:val="none" w:sz="0" w:space="0" w:color="auto"/>
            <w:bottom w:val="none" w:sz="0" w:space="0" w:color="auto"/>
            <w:right w:val="none" w:sz="0" w:space="0" w:color="auto"/>
          </w:divBdr>
        </w:div>
      </w:divsChild>
    </w:div>
    <w:div w:id="1790467664">
      <w:marLeft w:val="0"/>
      <w:marRight w:val="0"/>
      <w:marTop w:val="0"/>
      <w:marBottom w:val="0"/>
      <w:divBdr>
        <w:top w:val="none" w:sz="0" w:space="0" w:color="auto"/>
        <w:left w:val="none" w:sz="0" w:space="0" w:color="auto"/>
        <w:bottom w:val="none" w:sz="0" w:space="0" w:color="auto"/>
        <w:right w:val="none" w:sz="0" w:space="0" w:color="auto"/>
      </w:divBdr>
      <w:divsChild>
        <w:div w:id="1790467665">
          <w:marLeft w:val="547"/>
          <w:marRight w:val="0"/>
          <w:marTop w:val="154"/>
          <w:marBottom w:val="0"/>
          <w:divBdr>
            <w:top w:val="none" w:sz="0" w:space="0" w:color="auto"/>
            <w:left w:val="none" w:sz="0" w:space="0" w:color="auto"/>
            <w:bottom w:val="none" w:sz="0" w:space="0" w:color="auto"/>
            <w:right w:val="none" w:sz="0" w:space="0" w:color="auto"/>
          </w:divBdr>
        </w:div>
      </w:divsChild>
    </w:div>
    <w:div w:id="1790467667">
      <w:marLeft w:val="0"/>
      <w:marRight w:val="0"/>
      <w:marTop w:val="0"/>
      <w:marBottom w:val="0"/>
      <w:divBdr>
        <w:top w:val="none" w:sz="0" w:space="0" w:color="auto"/>
        <w:left w:val="none" w:sz="0" w:space="0" w:color="auto"/>
        <w:bottom w:val="none" w:sz="0" w:space="0" w:color="auto"/>
        <w:right w:val="none" w:sz="0" w:space="0" w:color="auto"/>
      </w:divBdr>
    </w:div>
    <w:div w:id="1790467669">
      <w:marLeft w:val="0"/>
      <w:marRight w:val="0"/>
      <w:marTop w:val="0"/>
      <w:marBottom w:val="0"/>
      <w:divBdr>
        <w:top w:val="none" w:sz="0" w:space="0" w:color="auto"/>
        <w:left w:val="none" w:sz="0" w:space="0" w:color="auto"/>
        <w:bottom w:val="none" w:sz="0" w:space="0" w:color="auto"/>
        <w:right w:val="none" w:sz="0" w:space="0" w:color="auto"/>
      </w:divBdr>
    </w:div>
    <w:div w:id="1790467670">
      <w:marLeft w:val="0"/>
      <w:marRight w:val="0"/>
      <w:marTop w:val="0"/>
      <w:marBottom w:val="0"/>
      <w:divBdr>
        <w:top w:val="none" w:sz="0" w:space="0" w:color="auto"/>
        <w:left w:val="none" w:sz="0" w:space="0" w:color="auto"/>
        <w:bottom w:val="none" w:sz="0" w:space="0" w:color="auto"/>
        <w:right w:val="none" w:sz="0" w:space="0" w:color="auto"/>
      </w:divBdr>
    </w:div>
    <w:div w:id="1790467671">
      <w:marLeft w:val="0"/>
      <w:marRight w:val="0"/>
      <w:marTop w:val="0"/>
      <w:marBottom w:val="0"/>
      <w:divBdr>
        <w:top w:val="none" w:sz="0" w:space="0" w:color="auto"/>
        <w:left w:val="none" w:sz="0" w:space="0" w:color="auto"/>
        <w:bottom w:val="none" w:sz="0" w:space="0" w:color="auto"/>
        <w:right w:val="none" w:sz="0" w:space="0" w:color="auto"/>
      </w:divBdr>
      <w:divsChild>
        <w:div w:id="1790467658">
          <w:marLeft w:val="547"/>
          <w:marRight w:val="0"/>
          <w:marTop w:val="154"/>
          <w:marBottom w:val="0"/>
          <w:divBdr>
            <w:top w:val="none" w:sz="0" w:space="0" w:color="auto"/>
            <w:left w:val="none" w:sz="0" w:space="0" w:color="auto"/>
            <w:bottom w:val="none" w:sz="0" w:space="0" w:color="auto"/>
            <w:right w:val="none" w:sz="0" w:space="0" w:color="auto"/>
          </w:divBdr>
        </w:div>
      </w:divsChild>
    </w:div>
    <w:div w:id="1790467672">
      <w:marLeft w:val="0"/>
      <w:marRight w:val="0"/>
      <w:marTop w:val="0"/>
      <w:marBottom w:val="0"/>
      <w:divBdr>
        <w:top w:val="none" w:sz="0" w:space="0" w:color="auto"/>
        <w:left w:val="none" w:sz="0" w:space="0" w:color="auto"/>
        <w:bottom w:val="none" w:sz="0" w:space="0" w:color="auto"/>
        <w:right w:val="none" w:sz="0" w:space="0" w:color="auto"/>
      </w:divBdr>
      <w:divsChild>
        <w:div w:id="1790467668">
          <w:marLeft w:val="547"/>
          <w:marRight w:val="0"/>
          <w:marTop w:val="154"/>
          <w:marBottom w:val="0"/>
          <w:divBdr>
            <w:top w:val="none" w:sz="0" w:space="0" w:color="auto"/>
            <w:left w:val="none" w:sz="0" w:space="0" w:color="auto"/>
            <w:bottom w:val="none" w:sz="0" w:space="0" w:color="auto"/>
            <w:right w:val="none" w:sz="0" w:space="0" w:color="auto"/>
          </w:divBdr>
        </w:div>
      </w:divsChild>
    </w:div>
    <w:div w:id="1790467673">
      <w:marLeft w:val="0"/>
      <w:marRight w:val="0"/>
      <w:marTop w:val="0"/>
      <w:marBottom w:val="0"/>
      <w:divBdr>
        <w:top w:val="none" w:sz="0" w:space="0" w:color="auto"/>
        <w:left w:val="none" w:sz="0" w:space="0" w:color="auto"/>
        <w:bottom w:val="none" w:sz="0" w:space="0" w:color="auto"/>
        <w:right w:val="none" w:sz="0" w:space="0" w:color="auto"/>
      </w:divBdr>
      <w:divsChild>
        <w:div w:id="1790467653">
          <w:marLeft w:val="547"/>
          <w:marRight w:val="0"/>
          <w:marTop w:val="154"/>
          <w:marBottom w:val="0"/>
          <w:divBdr>
            <w:top w:val="none" w:sz="0" w:space="0" w:color="auto"/>
            <w:left w:val="none" w:sz="0" w:space="0" w:color="auto"/>
            <w:bottom w:val="none" w:sz="0" w:space="0" w:color="auto"/>
            <w:right w:val="none" w:sz="0" w:space="0" w:color="auto"/>
          </w:divBdr>
        </w:div>
      </w:divsChild>
    </w:div>
    <w:div w:id="1790467674">
      <w:marLeft w:val="0"/>
      <w:marRight w:val="0"/>
      <w:marTop w:val="0"/>
      <w:marBottom w:val="0"/>
      <w:divBdr>
        <w:top w:val="none" w:sz="0" w:space="0" w:color="auto"/>
        <w:left w:val="none" w:sz="0" w:space="0" w:color="auto"/>
        <w:bottom w:val="none" w:sz="0" w:space="0" w:color="auto"/>
        <w:right w:val="none" w:sz="0" w:space="0" w:color="auto"/>
      </w:divBdr>
    </w:div>
    <w:div w:id="1790467675">
      <w:marLeft w:val="0"/>
      <w:marRight w:val="0"/>
      <w:marTop w:val="0"/>
      <w:marBottom w:val="0"/>
      <w:divBdr>
        <w:top w:val="none" w:sz="0" w:space="0" w:color="auto"/>
        <w:left w:val="none" w:sz="0" w:space="0" w:color="auto"/>
        <w:bottom w:val="none" w:sz="0" w:space="0" w:color="auto"/>
        <w:right w:val="none" w:sz="0" w:space="0" w:color="auto"/>
      </w:divBdr>
    </w:div>
    <w:div w:id="1790467676">
      <w:marLeft w:val="0"/>
      <w:marRight w:val="0"/>
      <w:marTop w:val="0"/>
      <w:marBottom w:val="0"/>
      <w:divBdr>
        <w:top w:val="none" w:sz="0" w:space="0" w:color="auto"/>
        <w:left w:val="none" w:sz="0" w:space="0" w:color="auto"/>
        <w:bottom w:val="none" w:sz="0" w:space="0" w:color="auto"/>
        <w:right w:val="none" w:sz="0" w:space="0" w:color="auto"/>
      </w:divBdr>
    </w:div>
    <w:div w:id="1790467677">
      <w:marLeft w:val="0"/>
      <w:marRight w:val="0"/>
      <w:marTop w:val="0"/>
      <w:marBottom w:val="0"/>
      <w:divBdr>
        <w:top w:val="none" w:sz="0" w:space="0" w:color="auto"/>
        <w:left w:val="none" w:sz="0" w:space="0" w:color="auto"/>
        <w:bottom w:val="none" w:sz="0" w:space="0" w:color="auto"/>
        <w:right w:val="none" w:sz="0" w:space="0" w:color="auto"/>
      </w:divBdr>
    </w:div>
    <w:div w:id="1790467678">
      <w:marLeft w:val="0"/>
      <w:marRight w:val="0"/>
      <w:marTop w:val="0"/>
      <w:marBottom w:val="0"/>
      <w:divBdr>
        <w:top w:val="none" w:sz="0" w:space="0" w:color="auto"/>
        <w:left w:val="none" w:sz="0" w:space="0" w:color="auto"/>
        <w:bottom w:val="none" w:sz="0" w:space="0" w:color="auto"/>
        <w:right w:val="none" w:sz="0" w:space="0" w:color="auto"/>
      </w:divBdr>
    </w:div>
    <w:div w:id="1790467679">
      <w:marLeft w:val="0"/>
      <w:marRight w:val="0"/>
      <w:marTop w:val="0"/>
      <w:marBottom w:val="0"/>
      <w:divBdr>
        <w:top w:val="none" w:sz="0" w:space="0" w:color="auto"/>
        <w:left w:val="none" w:sz="0" w:space="0" w:color="auto"/>
        <w:bottom w:val="none" w:sz="0" w:space="0" w:color="auto"/>
        <w:right w:val="none" w:sz="0" w:space="0" w:color="auto"/>
      </w:divBdr>
    </w:div>
    <w:div w:id="1790467680">
      <w:marLeft w:val="0"/>
      <w:marRight w:val="0"/>
      <w:marTop w:val="0"/>
      <w:marBottom w:val="0"/>
      <w:divBdr>
        <w:top w:val="none" w:sz="0" w:space="0" w:color="auto"/>
        <w:left w:val="none" w:sz="0" w:space="0" w:color="auto"/>
        <w:bottom w:val="none" w:sz="0" w:space="0" w:color="auto"/>
        <w:right w:val="none" w:sz="0" w:space="0" w:color="auto"/>
      </w:divBdr>
    </w:div>
    <w:div w:id="1790467681">
      <w:marLeft w:val="0"/>
      <w:marRight w:val="0"/>
      <w:marTop w:val="0"/>
      <w:marBottom w:val="0"/>
      <w:divBdr>
        <w:top w:val="none" w:sz="0" w:space="0" w:color="auto"/>
        <w:left w:val="none" w:sz="0" w:space="0" w:color="auto"/>
        <w:bottom w:val="none" w:sz="0" w:space="0" w:color="auto"/>
        <w:right w:val="none" w:sz="0" w:space="0" w:color="auto"/>
      </w:divBdr>
    </w:div>
    <w:div w:id="1790467682">
      <w:marLeft w:val="0"/>
      <w:marRight w:val="0"/>
      <w:marTop w:val="0"/>
      <w:marBottom w:val="0"/>
      <w:divBdr>
        <w:top w:val="none" w:sz="0" w:space="0" w:color="auto"/>
        <w:left w:val="none" w:sz="0" w:space="0" w:color="auto"/>
        <w:bottom w:val="none" w:sz="0" w:space="0" w:color="auto"/>
        <w:right w:val="none" w:sz="0" w:space="0" w:color="auto"/>
      </w:divBdr>
      <w:divsChild>
        <w:div w:id="1790467642">
          <w:marLeft w:val="965"/>
          <w:marRight w:val="0"/>
          <w:marTop w:val="154"/>
          <w:marBottom w:val="0"/>
          <w:divBdr>
            <w:top w:val="none" w:sz="0" w:space="0" w:color="auto"/>
            <w:left w:val="none" w:sz="0" w:space="0" w:color="auto"/>
            <w:bottom w:val="none" w:sz="0" w:space="0" w:color="auto"/>
            <w:right w:val="none" w:sz="0" w:space="0" w:color="auto"/>
          </w:divBdr>
        </w:div>
      </w:divsChild>
    </w:div>
    <w:div w:id="1790467683">
      <w:marLeft w:val="0"/>
      <w:marRight w:val="0"/>
      <w:marTop w:val="0"/>
      <w:marBottom w:val="0"/>
      <w:divBdr>
        <w:top w:val="none" w:sz="0" w:space="0" w:color="auto"/>
        <w:left w:val="none" w:sz="0" w:space="0" w:color="auto"/>
        <w:bottom w:val="none" w:sz="0" w:space="0" w:color="auto"/>
        <w:right w:val="none" w:sz="0" w:space="0" w:color="auto"/>
      </w:divBdr>
    </w:div>
    <w:div w:id="1799566828">
      <w:bodyDiv w:val="1"/>
      <w:marLeft w:val="0"/>
      <w:marRight w:val="0"/>
      <w:marTop w:val="0"/>
      <w:marBottom w:val="0"/>
      <w:divBdr>
        <w:top w:val="none" w:sz="0" w:space="0" w:color="auto"/>
        <w:left w:val="none" w:sz="0" w:space="0" w:color="auto"/>
        <w:bottom w:val="none" w:sz="0" w:space="0" w:color="auto"/>
        <w:right w:val="none" w:sz="0" w:space="0" w:color="auto"/>
      </w:divBdr>
    </w:div>
    <w:div w:id="1857191466">
      <w:bodyDiv w:val="1"/>
      <w:marLeft w:val="0"/>
      <w:marRight w:val="0"/>
      <w:marTop w:val="0"/>
      <w:marBottom w:val="0"/>
      <w:divBdr>
        <w:top w:val="none" w:sz="0" w:space="0" w:color="auto"/>
        <w:left w:val="none" w:sz="0" w:space="0" w:color="auto"/>
        <w:bottom w:val="none" w:sz="0" w:space="0" w:color="auto"/>
        <w:right w:val="none" w:sz="0" w:space="0" w:color="auto"/>
      </w:divBdr>
    </w:div>
    <w:div w:id="1861580158">
      <w:bodyDiv w:val="1"/>
      <w:marLeft w:val="0"/>
      <w:marRight w:val="0"/>
      <w:marTop w:val="0"/>
      <w:marBottom w:val="0"/>
      <w:divBdr>
        <w:top w:val="none" w:sz="0" w:space="0" w:color="auto"/>
        <w:left w:val="none" w:sz="0" w:space="0" w:color="auto"/>
        <w:bottom w:val="none" w:sz="0" w:space="0" w:color="auto"/>
        <w:right w:val="none" w:sz="0" w:space="0" w:color="auto"/>
      </w:divBdr>
    </w:div>
    <w:div w:id="1929801903">
      <w:bodyDiv w:val="1"/>
      <w:marLeft w:val="0"/>
      <w:marRight w:val="0"/>
      <w:marTop w:val="0"/>
      <w:marBottom w:val="0"/>
      <w:divBdr>
        <w:top w:val="none" w:sz="0" w:space="0" w:color="auto"/>
        <w:left w:val="none" w:sz="0" w:space="0" w:color="auto"/>
        <w:bottom w:val="none" w:sz="0" w:space="0" w:color="auto"/>
        <w:right w:val="none" w:sz="0" w:space="0" w:color="auto"/>
      </w:divBdr>
    </w:div>
    <w:div w:id="1936593177">
      <w:bodyDiv w:val="1"/>
      <w:marLeft w:val="0"/>
      <w:marRight w:val="0"/>
      <w:marTop w:val="0"/>
      <w:marBottom w:val="0"/>
      <w:divBdr>
        <w:top w:val="none" w:sz="0" w:space="0" w:color="auto"/>
        <w:left w:val="none" w:sz="0" w:space="0" w:color="auto"/>
        <w:bottom w:val="none" w:sz="0" w:space="0" w:color="auto"/>
        <w:right w:val="none" w:sz="0" w:space="0" w:color="auto"/>
      </w:divBdr>
    </w:div>
    <w:div w:id="1944605051">
      <w:bodyDiv w:val="1"/>
      <w:marLeft w:val="0"/>
      <w:marRight w:val="0"/>
      <w:marTop w:val="0"/>
      <w:marBottom w:val="0"/>
      <w:divBdr>
        <w:top w:val="none" w:sz="0" w:space="0" w:color="auto"/>
        <w:left w:val="none" w:sz="0" w:space="0" w:color="auto"/>
        <w:bottom w:val="none" w:sz="0" w:space="0" w:color="auto"/>
        <w:right w:val="none" w:sz="0" w:space="0" w:color="auto"/>
      </w:divBdr>
    </w:div>
    <w:div w:id="1979530840">
      <w:bodyDiv w:val="1"/>
      <w:marLeft w:val="0"/>
      <w:marRight w:val="0"/>
      <w:marTop w:val="0"/>
      <w:marBottom w:val="0"/>
      <w:divBdr>
        <w:top w:val="none" w:sz="0" w:space="0" w:color="auto"/>
        <w:left w:val="none" w:sz="0" w:space="0" w:color="auto"/>
        <w:bottom w:val="none" w:sz="0" w:space="0" w:color="auto"/>
        <w:right w:val="none" w:sz="0" w:space="0" w:color="auto"/>
      </w:divBdr>
    </w:div>
    <w:div w:id="1986541623">
      <w:bodyDiv w:val="1"/>
      <w:marLeft w:val="0"/>
      <w:marRight w:val="0"/>
      <w:marTop w:val="0"/>
      <w:marBottom w:val="0"/>
      <w:divBdr>
        <w:top w:val="none" w:sz="0" w:space="0" w:color="auto"/>
        <w:left w:val="none" w:sz="0" w:space="0" w:color="auto"/>
        <w:bottom w:val="none" w:sz="0" w:space="0" w:color="auto"/>
        <w:right w:val="none" w:sz="0" w:space="0" w:color="auto"/>
      </w:divBdr>
    </w:div>
    <w:div w:id="2017492103">
      <w:bodyDiv w:val="1"/>
      <w:marLeft w:val="0"/>
      <w:marRight w:val="0"/>
      <w:marTop w:val="0"/>
      <w:marBottom w:val="0"/>
      <w:divBdr>
        <w:top w:val="none" w:sz="0" w:space="0" w:color="auto"/>
        <w:left w:val="none" w:sz="0" w:space="0" w:color="auto"/>
        <w:bottom w:val="none" w:sz="0" w:space="0" w:color="auto"/>
        <w:right w:val="none" w:sz="0" w:space="0" w:color="auto"/>
      </w:divBdr>
    </w:div>
    <w:div w:id="2053727492">
      <w:bodyDiv w:val="1"/>
      <w:marLeft w:val="0"/>
      <w:marRight w:val="0"/>
      <w:marTop w:val="0"/>
      <w:marBottom w:val="0"/>
      <w:divBdr>
        <w:top w:val="none" w:sz="0" w:space="0" w:color="auto"/>
        <w:left w:val="none" w:sz="0" w:space="0" w:color="auto"/>
        <w:bottom w:val="none" w:sz="0" w:space="0" w:color="auto"/>
        <w:right w:val="none" w:sz="0" w:space="0" w:color="auto"/>
      </w:divBdr>
      <w:divsChild>
        <w:div w:id="551037488">
          <w:marLeft w:val="0"/>
          <w:marRight w:val="0"/>
          <w:marTop w:val="0"/>
          <w:marBottom w:val="0"/>
          <w:divBdr>
            <w:top w:val="none" w:sz="0" w:space="0" w:color="auto"/>
            <w:left w:val="none" w:sz="0" w:space="0" w:color="auto"/>
            <w:bottom w:val="none" w:sz="0" w:space="0" w:color="auto"/>
            <w:right w:val="none" w:sz="0" w:space="0" w:color="auto"/>
          </w:divBdr>
        </w:div>
      </w:divsChild>
    </w:div>
    <w:div w:id="2076851458">
      <w:bodyDiv w:val="1"/>
      <w:marLeft w:val="0"/>
      <w:marRight w:val="0"/>
      <w:marTop w:val="0"/>
      <w:marBottom w:val="0"/>
      <w:divBdr>
        <w:top w:val="none" w:sz="0" w:space="0" w:color="auto"/>
        <w:left w:val="none" w:sz="0" w:space="0" w:color="auto"/>
        <w:bottom w:val="none" w:sz="0" w:space="0" w:color="auto"/>
        <w:right w:val="none" w:sz="0" w:space="0" w:color="auto"/>
      </w:divBdr>
    </w:div>
    <w:div w:id="2077241910">
      <w:bodyDiv w:val="1"/>
      <w:marLeft w:val="0"/>
      <w:marRight w:val="0"/>
      <w:marTop w:val="0"/>
      <w:marBottom w:val="0"/>
      <w:divBdr>
        <w:top w:val="none" w:sz="0" w:space="0" w:color="auto"/>
        <w:left w:val="none" w:sz="0" w:space="0" w:color="auto"/>
        <w:bottom w:val="none" w:sz="0" w:space="0" w:color="auto"/>
        <w:right w:val="none" w:sz="0" w:space="0" w:color="auto"/>
      </w:divBdr>
    </w:div>
    <w:div w:id="2085643918">
      <w:bodyDiv w:val="1"/>
      <w:marLeft w:val="0"/>
      <w:marRight w:val="0"/>
      <w:marTop w:val="0"/>
      <w:marBottom w:val="0"/>
      <w:divBdr>
        <w:top w:val="none" w:sz="0" w:space="0" w:color="auto"/>
        <w:left w:val="none" w:sz="0" w:space="0" w:color="auto"/>
        <w:bottom w:val="none" w:sz="0" w:space="0" w:color="auto"/>
        <w:right w:val="none" w:sz="0" w:space="0" w:color="auto"/>
      </w:divBdr>
    </w:div>
    <w:div w:id="2087343298">
      <w:bodyDiv w:val="1"/>
      <w:marLeft w:val="0"/>
      <w:marRight w:val="0"/>
      <w:marTop w:val="0"/>
      <w:marBottom w:val="0"/>
      <w:divBdr>
        <w:top w:val="none" w:sz="0" w:space="0" w:color="auto"/>
        <w:left w:val="none" w:sz="0" w:space="0" w:color="auto"/>
        <w:bottom w:val="none" w:sz="0" w:space="0" w:color="auto"/>
        <w:right w:val="none" w:sz="0" w:space="0" w:color="auto"/>
      </w:divBdr>
    </w:div>
    <w:div w:id="2107916718">
      <w:bodyDiv w:val="1"/>
      <w:marLeft w:val="0"/>
      <w:marRight w:val="0"/>
      <w:marTop w:val="0"/>
      <w:marBottom w:val="0"/>
      <w:divBdr>
        <w:top w:val="none" w:sz="0" w:space="0" w:color="auto"/>
        <w:left w:val="none" w:sz="0" w:space="0" w:color="auto"/>
        <w:bottom w:val="none" w:sz="0" w:space="0" w:color="auto"/>
        <w:right w:val="none" w:sz="0" w:space="0" w:color="auto"/>
      </w:divBdr>
    </w:div>
    <w:div w:id="2121023419">
      <w:bodyDiv w:val="1"/>
      <w:marLeft w:val="0"/>
      <w:marRight w:val="0"/>
      <w:marTop w:val="0"/>
      <w:marBottom w:val="0"/>
      <w:divBdr>
        <w:top w:val="none" w:sz="0" w:space="0" w:color="auto"/>
        <w:left w:val="none" w:sz="0" w:space="0" w:color="auto"/>
        <w:bottom w:val="none" w:sz="0" w:space="0" w:color="auto"/>
        <w:right w:val="none" w:sz="0" w:space="0" w:color="auto"/>
      </w:divBdr>
      <w:divsChild>
        <w:div w:id="597064857">
          <w:marLeft w:val="0"/>
          <w:marRight w:val="0"/>
          <w:marTop w:val="0"/>
          <w:marBottom w:val="0"/>
          <w:divBdr>
            <w:top w:val="none" w:sz="0" w:space="0" w:color="auto"/>
            <w:left w:val="none" w:sz="0" w:space="0" w:color="auto"/>
            <w:bottom w:val="none" w:sz="0" w:space="0" w:color="auto"/>
            <w:right w:val="none" w:sz="0" w:space="0" w:color="auto"/>
          </w:divBdr>
        </w:div>
        <w:div w:id="1522664542">
          <w:marLeft w:val="0"/>
          <w:marRight w:val="0"/>
          <w:marTop w:val="0"/>
          <w:marBottom w:val="0"/>
          <w:divBdr>
            <w:top w:val="none" w:sz="0" w:space="0" w:color="auto"/>
            <w:left w:val="none" w:sz="0" w:space="0" w:color="auto"/>
            <w:bottom w:val="none" w:sz="0" w:space="0" w:color="auto"/>
            <w:right w:val="none" w:sz="0" w:space="0" w:color="auto"/>
          </w:divBdr>
          <w:divsChild>
            <w:div w:id="1462383632">
              <w:marLeft w:val="0"/>
              <w:marRight w:val="0"/>
              <w:marTop w:val="0"/>
              <w:marBottom w:val="0"/>
              <w:divBdr>
                <w:top w:val="none" w:sz="0" w:space="0" w:color="auto"/>
                <w:left w:val="none" w:sz="0" w:space="0" w:color="auto"/>
                <w:bottom w:val="none" w:sz="0" w:space="0" w:color="auto"/>
                <w:right w:val="none" w:sz="0" w:space="0" w:color="auto"/>
              </w:divBdr>
              <w:divsChild>
                <w:div w:id="71030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482122">
      <w:bodyDiv w:val="1"/>
      <w:marLeft w:val="0"/>
      <w:marRight w:val="0"/>
      <w:marTop w:val="0"/>
      <w:marBottom w:val="0"/>
      <w:divBdr>
        <w:top w:val="none" w:sz="0" w:space="0" w:color="auto"/>
        <w:left w:val="none" w:sz="0" w:space="0" w:color="auto"/>
        <w:bottom w:val="none" w:sz="0" w:space="0" w:color="auto"/>
        <w:right w:val="none" w:sz="0" w:space="0" w:color="auto"/>
      </w:divBdr>
    </w:div>
    <w:div w:id="2143381511">
      <w:bodyDiv w:val="1"/>
      <w:marLeft w:val="0"/>
      <w:marRight w:val="0"/>
      <w:marTop w:val="0"/>
      <w:marBottom w:val="0"/>
      <w:divBdr>
        <w:top w:val="none" w:sz="0" w:space="0" w:color="auto"/>
        <w:left w:val="none" w:sz="0" w:space="0" w:color="auto"/>
        <w:bottom w:val="none" w:sz="0" w:space="0" w:color="auto"/>
        <w:right w:val="none" w:sz="0" w:space="0" w:color="auto"/>
      </w:divBdr>
    </w:div>
    <w:div w:id="2146240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man@fordham.edu" TargetMode="External"/><Relationship Id="rId13" Type="http://schemas.openxmlformats.org/officeDocument/2006/relationships/hyperlink" Target="http://faculty.fordham.edu/alema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hyperlink" Target="http://databank.worldbank.org/data/views/variableSelection/selectvariables.aspx?source=world-development-indicators" TargetMode="External"/><Relationship Id="rId2" Type="http://schemas.openxmlformats.org/officeDocument/2006/relationships/numbering" Target="numbering.xml"/><Relationship Id="rId16" Type="http://schemas.openxmlformats.org/officeDocument/2006/relationships/hyperlink" Target="http://www.academia.edu/7518283/Elitz-Using_Arellano_Bond_GMMEstimators" TargetMode="Externa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hyperlink" Target="http://www.idea.int/data-tools/data/voter-turnout" TargetMode="Externa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dwoods2@purdue.edu" TargetMode="External"/><Relationship Id="rId14" Type="http://schemas.openxmlformats.org/officeDocument/2006/relationships/hyperlink" Target="https://whartonmgmt.wufoo.com/forms/political-constraint-index-polcon-datase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electproject.org/national-1789-present" TargetMode="External"/><Relationship Id="rId1" Type="http://schemas.openxmlformats.org/officeDocument/2006/relationships/hyperlink" Target="https://aias.s3-eu-central-1.amazonaws.com/website/uploads/1475058325774ICTWSS-Codebook_Version-5.1_201609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8DDDE-052E-4701-8040-121C96235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8970</Words>
  <Characters>51130</Characters>
  <Application>Microsoft Office Word</Application>
  <DocSecurity>0</DocSecurity>
  <Lines>426</Lines>
  <Paragraphs>119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59981</CharactersWithSpaces>
  <SharedDoc>false</SharedDoc>
  <HLinks>
    <vt:vector size="48" baseType="variant">
      <vt:variant>
        <vt:i4>3211317</vt:i4>
      </vt:variant>
      <vt:variant>
        <vt:i4>15</vt:i4>
      </vt:variant>
      <vt:variant>
        <vt:i4>0</vt:i4>
      </vt:variant>
      <vt:variant>
        <vt:i4>5</vt:i4>
      </vt:variant>
      <vt:variant>
        <vt:lpwstr>http://databank.worldbank.org/data/views/variableSelection/selectvariables.aspx?source=world-development-indicators</vt:lpwstr>
      </vt:variant>
      <vt:variant>
        <vt:lpwstr/>
      </vt:variant>
      <vt:variant>
        <vt:i4>7012409</vt:i4>
      </vt:variant>
      <vt:variant>
        <vt:i4>12</vt:i4>
      </vt:variant>
      <vt:variant>
        <vt:i4>0</vt:i4>
      </vt:variant>
      <vt:variant>
        <vt:i4>5</vt:i4>
      </vt:variant>
      <vt:variant>
        <vt:lpwstr>http://www.uva-aias.net/208</vt:lpwstr>
      </vt:variant>
      <vt:variant>
        <vt:lpwstr/>
      </vt:variant>
      <vt:variant>
        <vt:i4>852054</vt:i4>
      </vt:variant>
      <vt:variant>
        <vt:i4>9</vt:i4>
      </vt:variant>
      <vt:variant>
        <vt:i4>0</vt:i4>
      </vt:variant>
      <vt:variant>
        <vt:i4>5</vt:i4>
      </vt:variant>
      <vt:variant>
        <vt:lpwstr>http://www.qog.pol.gu.se/</vt:lpwstr>
      </vt:variant>
      <vt:variant>
        <vt:lpwstr/>
      </vt:variant>
      <vt:variant>
        <vt:i4>3539041</vt:i4>
      </vt:variant>
      <vt:variant>
        <vt:i4>6</vt:i4>
      </vt:variant>
      <vt:variant>
        <vt:i4>0</vt:i4>
      </vt:variant>
      <vt:variant>
        <vt:i4>5</vt:i4>
      </vt:variant>
      <vt:variant>
        <vt:lpwstr>http://www.systemicpeace.org/inscrdata.html</vt:lpwstr>
      </vt:variant>
      <vt:variant>
        <vt:lpwstr/>
      </vt:variant>
      <vt:variant>
        <vt:i4>7798892</vt:i4>
      </vt:variant>
      <vt:variant>
        <vt:i4>3</vt:i4>
      </vt:variant>
      <vt:variant>
        <vt:i4>0</vt:i4>
      </vt:variant>
      <vt:variant>
        <vt:i4>5</vt:i4>
      </vt:variant>
      <vt:variant>
        <vt:lpwstr>http://www.idea.int/vt/viewdata.cfm</vt:lpwstr>
      </vt:variant>
      <vt:variant>
        <vt:lpwstr/>
      </vt:variant>
      <vt:variant>
        <vt:i4>3407920</vt:i4>
      </vt:variant>
      <vt:variant>
        <vt:i4>0</vt:i4>
      </vt:variant>
      <vt:variant>
        <vt:i4>0</vt:i4>
      </vt:variant>
      <vt:variant>
        <vt:i4>5</vt:i4>
      </vt:variant>
      <vt:variant>
        <vt:lpwstr>http://www-management.wharton.upenn.edu/henisz/</vt:lpwstr>
      </vt:variant>
      <vt:variant>
        <vt:lpwstr/>
      </vt:variant>
      <vt:variant>
        <vt:i4>4194309</vt:i4>
      </vt:variant>
      <vt:variant>
        <vt:i4>3</vt:i4>
      </vt:variant>
      <vt:variant>
        <vt:i4>0</vt:i4>
      </vt:variant>
      <vt:variant>
        <vt:i4>5</vt:i4>
      </vt:variant>
      <vt:variant>
        <vt:lpwstr>http://myweb.uiowa.edu/fsolt/swiid/swiid.html</vt:lpwstr>
      </vt:variant>
      <vt:variant>
        <vt:lpwstr/>
      </vt:variant>
      <vt:variant>
        <vt:i4>1048681</vt:i4>
      </vt:variant>
      <vt:variant>
        <vt:i4>0</vt:i4>
      </vt:variant>
      <vt:variant>
        <vt:i4>0</vt:i4>
      </vt:variant>
      <vt:variant>
        <vt:i4>5</vt:i4>
      </vt:variant>
      <vt:variant>
        <vt:lpwstr>http://en.wikipedia.org/wiki/Local_regression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2017-10-31T15:39:00Z</dcterms:created>
  <dcterms:modified xsi:type="dcterms:W3CDTF">2017-10-31T15:39:00Z</dcterms:modified>
</cp:coreProperties>
</file>